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CB" w:rsidRDefault="00BB48CB" w:rsidP="00C51D29">
      <w:pPr>
        <w:jc w:val="center"/>
        <w:rPr>
          <w:rFonts w:cstheme="minorHAnsi"/>
          <w:b/>
          <w:color w:val="29588C"/>
          <w:sz w:val="40"/>
          <w:szCs w:val="32"/>
        </w:rPr>
      </w:pPr>
      <w:r>
        <w:rPr>
          <w:noProof/>
        </w:rPr>
        <w:drawing>
          <wp:inline distT="0" distB="0" distL="0" distR="0" wp14:anchorId="6AAE4703" wp14:editId="3AE71D19">
            <wp:extent cx="2453640" cy="115132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AOLogo-Vector&amp;Hi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823" cy="1151409"/>
                    </a:xfrm>
                    <a:prstGeom prst="rect">
                      <a:avLst/>
                    </a:prstGeom>
                  </pic:spPr>
                </pic:pic>
              </a:graphicData>
            </a:graphic>
          </wp:inline>
        </w:drawing>
      </w:r>
    </w:p>
    <w:p w:rsidR="00C51D29" w:rsidRPr="00C51D29" w:rsidRDefault="00C51D29" w:rsidP="00C51D29">
      <w:pPr>
        <w:jc w:val="center"/>
        <w:rPr>
          <w:rFonts w:cstheme="minorHAnsi"/>
          <w:b/>
          <w:color w:val="29588C"/>
          <w:sz w:val="40"/>
          <w:szCs w:val="32"/>
        </w:rPr>
      </w:pPr>
      <w:r w:rsidRPr="00C51D29">
        <w:rPr>
          <w:rFonts w:cstheme="minorHAnsi"/>
          <w:b/>
          <w:color w:val="29588C"/>
          <w:sz w:val="40"/>
          <w:szCs w:val="32"/>
        </w:rPr>
        <w:t>Capitol Comments</w:t>
      </w:r>
    </w:p>
    <w:p w:rsidR="005E2416" w:rsidRPr="00C51D29" w:rsidRDefault="00436AD8" w:rsidP="00C51D29">
      <w:pPr>
        <w:jc w:val="center"/>
        <w:rPr>
          <w:rFonts w:cstheme="minorHAnsi"/>
          <w:b/>
          <w:color w:val="29588C"/>
          <w:sz w:val="32"/>
          <w:szCs w:val="32"/>
        </w:rPr>
      </w:pPr>
      <w:r w:rsidRPr="00C51D29">
        <w:rPr>
          <w:rFonts w:cstheme="minorHAnsi"/>
          <w:b/>
          <w:color w:val="29588C"/>
          <w:sz w:val="32"/>
          <w:szCs w:val="32"/>
        </w:rPr>
        <w:t>January</w:t>
      </w:r>
      <w:r w:rsidR="00B8557A" w:rsidRPr="00C51D29">
        <w:rPr>
          <w:rFonts w:cstheme="minorHAnsi"/>
          <w:b/>
          <w:color w:val="29588C"/>
          <w:sz w:val="32"/>
          <w:szCs w:val="32"/>
        </w:rPr>
        <w:t xml:space="preserve"> </w:t>
      </w:r>
      <w:r w:rsidR="005E2416" w:rsidRPr="00C51D29">
        <w:rPr>
          <w:rFonts w:cstheme="minorHAnsi"/>
          <w:b/>
          <w:color w:val="29588C"/>
          <w:sz w:val="32"/>
          <w:szCs w:val="32"/>
        </w:rPr>
        <w:t>201</w:t>
      </w:r>
      <w:r w:rsidRPr="00C51D29">
        <w:rPr>
          <w:rFonts w:cstheme="minorHAnsi"/>
          <w:b/>
          <w:color w:val="29588C"/>
          <w:sz w:val="32"/>
          <w:szCs w:val="32"/>
        </w:rPr>
        <w:t>8</w:t>
      </w:r>
    </w:p>
    <w:p w:rsidR="00A52376" w:rsidRPr="00436AD8" w:rsidRDefault="00A52376" w:rsidP="00A52376">
      <w:pPr>
        <w:rPr>
          <w:rFonts w:eastAsia="Times New Roman" w:cstheme="minorHAnsi"/>
          <w:b/>
          <w:i/>
          <w:color w:val="002060"/>
          <w:sz w:val="20"/>
          <w:szCs w:val="20"/>
        </w:rPr>
      </w:pPr>
      <w:bookmarkStart w:id="0" w:name="_Toc482863499"/>
      <w:r w:rsidRPr="00436AD8">
        <w:rPr>
          <w:rFonts w:eastAsia="Times New Roman" w:cstheme="minorHAnsi"/>
          <w:b/>
          <w:i/>
          <w:color w:val="002060"/>
          <w:sz w:val="20"/>
          <w:szCs w:val="20"/>
        </w:rPr>
        <w:t>When there is a deadline</w:t>
      </w:r>
      <w:r w:rsidR="00E5308D">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002A35D1" w:rsidRPr="00436AD8">
        <w:rPr>
          <w:rFonts w:cstheme="minorHAnsi"/>
          <w:noProof/>
        </w:rPr>
        <w:drawing>
          <wp:inline distT="0" distB="0" distL="0" distR="0" wp14:anchorId="06A90C76" wp14:editId="71AE0583">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p>
    <w:p w:rsidR="00A52376" w:rsidRPr="00436AD8" w:rsidRDefault="00A52376" w:rsidP="002221C5">
      <w:pPr>
        <w:pStyle w:val="CCTOCHeading"/>
        <w:rPr>
          <w:rFonts w:asciiTheme="minorHAnsi" w:hAnsiTheme="minorHAnsi" w:cstheme="minorHAnsi"/>
        </w:rPr>
      </w:pPr>
      <w:bookmarkStart w:id="1" w:name="_Toc409519092"/>
      <w:bookmarkStart w:id="2" w:name="_Toc504138792"/>
      <w:bookmarkStart w:id="3" w:name="_Toc504562606"/>
      <w:r w:rsidRPr="00436AD8">
        <w:rPr>
          <w:rFonts w:asciiTheme="minorHAnsi" w:hAnsiTheme="minorHAnsi" w:cstheme="minorHAnsi"/>
        </w:rPr>
        <w:t>Joint federal agency issuances</w:t>
      </w:r>
      <w:bookmarkEnd w:id="1"/>
      <w:bookmarkEnd w:id="2"/>
      <w:bookmarkEnd w:id="3"/>
    </w:p>
    <w:p w:rsidR="000C7C83" w:rsidRPr="000C7C83" w:rsidRDefault="000C7C83" w:rsidP="000C7C83">
      <w:pPr>
        <w:spacing w:before="120" w:after="120"/>
        <w:rPr>
          <w:rFonts w:ascii="Calibri" w:eastAsia="Calibri" w:hAnsi="Calibri" w:cs="Times New Roman"/>
          <w:b/>
          <w:bCs/>
          <w:i/>
          <w:color w:val="000000" w:themeColor="text1"/>
          <w:sz w:val="24"/>
          <w:szCs w:val="24"/>
        </w:rPr>
      </w:pPr>
      <w:bookmarkStart w:id="4" w:name="_Toc409519093"/>
      <w:bookmarkStart w:id="5" w:name="_Toc504138793"/>
      <w:bookmarkStart w:id="6" w:name="_Hlk501354491"/>
      <w:r w:rsidRPr="000C7C83">
        <w:rPr>
          <w:rFonts w:ascii="Calibri" w:eastAsia="Calibri" w:hAnsi="Calibri" w:cs="Times New Roman"/>
          <w:b/>
          <w:bCs/>
          <w:i/>
          <w:color w:val="000000" w:themeColor="text1"/>
          <w:sz w:val="24"/>
          <w:szCs w:val="24"/>
        </w:rPr>
        <w:t>Interagency Statement on Accounting and Reporting Implications of the New Tax Law (01.18.2018)</w:t>
      </w:r>
    </w:p>
    <w:p w:rsidR="000C7C83" w:rsidRPr="000C7C83" w:rsidRDefault="000C7C83" w:rsidP="000C7C83">
      <w:pPr>
        <w:spacing w:before="120" w:after="120"/>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The Office of the Comptroller of the Currency (OCC), the Board of Governors of the Federal Reserve System, and the Federal Deposit Insurance Corporation issued an interagency statement for supervised financial institutions on accounting and reporting implications of the new tax law</w:t>
      </w:r>
      <w:r w:rsidR="00141797">
        <w:rPr>
          <w:rFonts w:ascii="Calibri" w:eastAsia="Calibri" w:hAnsi="Calibri" w:cs="Times New Roman"/>
          <w:bCs/>
          <w:color w:val="000000"/>
          <w:sz w:val="24"/>
          <w:szCs w:val="24"/>
        </w:rPr>
        <w:t xml:space="preserve"> </w:t>
      </w:r>
      <w:r w:rsidRPr="000C7C83">
        <w:rPr>
          <w:rFonts w:ascii="Calibri" w:eastAsia="Calibri" w:hAnsi="Calibri" w:cs="Times New Roman"/>
          <w:bCs/>
          <w:color w:val="000000"/>
          <w:sz w:val="24"/>
          <w:szCs w:val="24"/>
        </w:rPr>
        <w:t xml:space="preserve">and certain related matters. Changes required </w:t>
      </w:r>
      <w:proofErr w:type="gramStart"/>
      <w:r w:rsidRPr="000C7C83">
        <w:rPr>
          <w:rFonts w:ascii="Calibri" w:eastAsia="Calibri" w:hAnsi="Calibri" w:cs="Times New Roman"/>
          <w:bCs/>
          <w:color w:val="000000"/>
          <w:sz w:val="24"/>
          <w:szCs w:val="24"/>
        </w:rPr>
        <w:t>as a result of</w:t>
      </w:r>
      <w:proofErr w:type="gramEnd"/>
      <w:r w:rsidRPr="000C7C83">
        <w:rPr>
          <w:rFonts w:ascii="Calibri" w:eastAsia="Calibri" w:hAnsi="Calibri" w:cs="Times New Roman"/>
          <w:bCs/>
          <w:color w:val="000000"/>
          <w:sz w:val="24"/>
          <w:szCs w:val="24"/>
        </w:rPr>
        <w:t xml:space="preserve"> the new law, which was enacted on December 22, 2017, are relevant to December 31, 2017, financial statements and regulatory reports.</w:t>
      </w:r>
    </w:p>
    <w:p w:rsidR="000C7C83" w:rsidRPr="000C7C83" w:rsidRDefault="000C7C83" w:rsidP="000C7C83">
      <w:pPr>
        <w:spacing w:before="120" w:after="120"/>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This guidance does not represent new rules or regulations, but instead clarifies</w:t>
      </w:r>
    </w:p>
    <w:p w:rsidR="000C7C83" w:rsidRPr="000C7C83" w:rsidRDefault="000C7C83" w:rsidP="000C7C83">
      <w:pPr>
        <w:numPr>
          <w:ilvl w:val="0"/>
          <w:numId w:val="39"/>
        </w:numPr>
        <w:spacing w:before="120" w:after="120" w:line="259" w:lineRule="auto"/>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that changes in deferred tax assets and deferred tax liabilities resulting from the lower corporate income tax rate, and other applicable provisions of the new tax law, should be reflected in an institution</w:t>
      </w:r>
      <w:r w:rsidR="00C45A3D">
        <w:rPr>
          <w:rFonts w:ascii="Calibri" w:eastAsia="Calibri" w:hAnsi="Calibri" w:cs="Times New Roman"/>
          <w:bCs/>
          <w:color w:val="000000"/>
          <w:sz w:val="24"/>
          <w:szCs w:val="24"/>
        </w:rPr>
        <w:t>’</w:t>
      </w:r>
      <w:r w:rsidRPr="000C7C83">
        <w:rPr>
          <w:rFonts w:ascii="Calibri" w:eastAsia="Calibri" w:hAnsi="Calibri" w:cs="Times New Roman"/>
          <w:bCs/>
          <w:color w:val="000000"/>
          <w:sz w:val="24"/>
          <w:szCs w:val="24"/>
        </w:rPr>
        <w:t>s income tax expense in the period of enactment.</w:t>
      </w:r>
    </w:p>
    <w:p w:rsidR="000C7C83" w:rsidRPr="000C7C83" w:rsidRDefault="000C7C83" w:rsidP="000C7C83">
      <w:pPr>
        <w:numPr>
          <w:ilvl w:val="0"/>
          <w:numId w:val="39"/>
        </w:numPr>
        <w:spacing w:before="120" w:after="120" w:line="259" w:lineRule="auto"/>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 xml:space="preserve">how to resolve the disproportionate tax effects in accumulated other comprehensive income </w:t>
      </w:r>
      <w:proofErr w:type="gramStart"/>
      <w:r w:rsidRPr="000C7C83">
        <w:rPr>
          <w:rFonts w:ascii="Calibri" w:eastAsia="Calibri" w:hAnsi="Calibri" w:cs="Times New Roman"/>
          <w:bCs/>
          <w:color w:val="000000"/>
          <w:sz w:val="24"/>
          <w:szCs w:val="24"/>
        </w:rPr>
        <w:t>as a result of</w:t>
      </w:r>
      <w:proofErr w:type="gramEnd"/>
      <w:r w:rsidRPr="000C7C83">
        <w:rPr>
          <w:rFonts w:ascii="Calibri" w:eastAsia="Calibri" w:hAnsi="Calibri" w:cs="Times New Roman"/>
          <w:bCs/>
          <w:color w:val="000000"/>
          <w:sz w:val="24"/>
          <w:szCs w:val="24"/>
        </w:rPr>
        <w:t xml:space="preserve"> the remeasurement of deferred tax assets and liabilities.</w:t>
      </w:r>
    </w:p>
    <w:p w:rsidR="000C7C83" w:rsidRPr="000C7C83" w:rsidRDefault="000C7C83" w:rsidP="000C7C83">
      <w:pPr>
        <w:numPr>
          <w:ilvl w:val="0"/>
          <w:numId w:val="39"/>
        </w:numPr>
        <w:spacing w:before="120" w:after="120" w:line="259" w:lineRule="auto"/>
        <w:rPr>
          <w:rFonts w:ascii="Calibri" w:eastAsia="Calibri" w:hAnsi="Calibri" w:cs="Times New Roman"/>
          <w:bCs/>
          <w:color w:val="000000"/>
          <w:sz w:val="24"/>
          <w:szCs w:val="24"/>
        </w:rPr>
      </w:pPr>
      <w:r w:rsidRPr="000C7C83">
        <w:rPr>
          <w:rFonts w:ascii="Calibri" w:eastAsia="Calibri" w:hAnsi="Calibri" w:cs="Times New Roman"/>
          <w:bCs/>
          <w:color w:val="000000"/>
          <w:sz w:val="24"/>
          <w:szCs w:val="24"/>
        </w:rPr>
        <w:t>the impact of the new tax law on regulatory capital.</w:t>
      </w:r>
    </w:p>
    <w:p w:rsidR="000C7C83" w:rsidRPr="000C7C83" w:rsidRDefault="000C7C83" w:rsidP="00001EFA">
      <w:pPr>
        <w:spacing w:before="120" w:after="120"/>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10" w:history="1">
        <w:r w:rsidRPr="000C7C83">
          <w:rPr>
            <w:rFonts w:ascii="Calibri" w:eastAsia="Calibri" w:hAnsi="Calibri" w:cs="Times New Roman"/>
            <w:b/>
            <w:bCs/>
            <w:color w:val="0563C1"/>
            <w:sz w:val="24"/>
            <w:szCs w:val="24"/>
            <w:u w:val="single"/>
          </w:rPr>
          <w:t>link</w:t>
        </w:r>
      </w:hyperlink>
      <w:r w:rsidRPr="000C7C83">
        <w:rPr>
          <w:rFonts w:ascii="Calibri" w:eastAsia="Calibri" w:hAnsi="Calibri" w:cs="Times New Roman"/>
          <w:b/>
          <w:bCs/>
          <w:color w:val="000000"/>
          <w:sz w:val="24"/>
          <w:szCs w:val="24"/>
        </w:rPr>
        <w:t>.</w:t>
      </w:r>
    </w:p>
    <w:p w:rsidR="000C7C83" w:rsidRPr="00323369" w:rsidRDefault="000C7C83" w:rsidP="000C7C83">
      <w:pPr>
        <w:spacing w:before="120" w:after="120"/>
        <w:rPr>
          <w:rFonts w:ascii="Calibri" w:eastAsia="Calibri" w:hAnsi="Calibri" w:cs="Times New Roman"/>
          <w:b/>
          <w:i/>
          <w:color w:val="002060"/>
          <w:sz w:val="24"/>
          <w:szCs w:val="24"/>
        </w:rPr>
      </w:pPr>
      <w:r w:rsidRPr="00323369">
        <w:rPr>
          <w:rFonts w:ascii="Calibri" w:eastAsia="Calibri" w:hAnsi="Calibri" w:cs="Times New Roman"/>
          <w:b/>
          <w:bCs/>
          <w:i/>
          <w:color w:val="002060"/>
          <w:sz w:val="24"/>
          <w:szCs w:val="24"/>
        </w:rPr>
        <w:t>Comment:</w:t>
      </w:r>
      <w:r w:rsidRPr="00323369">
        <w:rPr>
          <w:rFonts w:ascii="Calibri" w:eastAsia="Calibri" w:hAnsi="Calibri" w:cs="Times New Roman"/>
          <w:b/>
          <w:i/>
          <w:color w:val="002060"/>
          <w:sz w:val="24"/>
          <w:szCs w:val="24"/>
        </w:rPr>
        <w:t xml:space="preserve"> </w:t>
      </w:r>
      <w:r w:rsidR="00323369" w:rsidRPr="00323369">
        <w:rPr>
          <w:rFonts w:ascii="Calibri" w:eastAsia="Calibri" w:hAnsi="Calibri" w:cs="Times New Roman"/>
          <w:b/>
          <w:i/>
          <w:color w:val="002060"/>
          <w:sz w:val="24"/>
          <w:szCs w:val="24"/>
        </w:rPr>
        <w:t xml:space="preserve">The Financial Accounting Standards Board (FASB) proposed </w:t>
      </w:r>
      <w:hyperlink r:id="rId11" w:tgtFrame="_blank" w:history="1">
        <w:r w:rsidR="00323369" w:rsidRPr="00323369">
          <w:rPr>
            <w:rStyle w:val="Hyperlink"/>
            <w:rFonts w:ascii="Calibri" w:eastAsia="Calibri" w:hAnsi="Calibri"/>
            <w:sz w:val="24"/>
            <w:szCs w:val="24"/>
          </w:rPr>
          <w:t>updated accounting standards</w:t>
        </w:r>
      </w:hyperlink>
      <w:r w:rsidR="00323369" w:rsidRPr="00323369">
        <w:rPr>
          <w:rFonts w:ascii="Calibri" w:eastAsia="Calibri" w:hAnsi="Calibri" w:cs="Times New Roman"/>
          <w:b/>
          <w:i/>
          <w:color w:val="002060"/>
          <w:sz w:val="24"/>
          <w:szCs w:val="24"/>
        </w:rPr>
        <w:t xml:space="preserve"> to address complications from the Tax Cuts and Jobs Act, one of which is the need to assess impairments of deferred tax items due to the change in the corporate tax rate and imbalances in accumulated other comprehensive income (AOCI). Due to the new tax law, banks would reclassify amounts from AOCI to retained earnings. The new tax law created a huge benefit in reducing rates, but there are critical downsides that must be acknowledged where they apply!  Be sure the board of directors is briefed on this.</w:t>
      </w:r>
    </w:p>
    <w:p w:rsidR="000C7C83" w:rsidRPr="000C7C83" w:rsidRDefault="000C7C83" w:rsidP="000C7C83">
      <w:pPr>
        <w:spacing w:before="120" w:after="120"/>
        <w:rPr>
          <w:rFonts w:ascii="Calibri" w:eastAsia="Calibri" w:hAnsi="Calibri" w:cs="Times New Roman"/>
          <w:sz w:val="24"/>
          <w:szCs w:val="24"/>
        </w:rPr>
      </w:pPr>
    </w:p>
    <w:p w:rsidR="000C7C83" w:rsidRPr="000C7C83" w:rsidRDefault="000C7C83" w:rsidP="000C7C83">
      <w:pPr>
        <w:spacing w:before="120" w:after="120"/>
        <w:rPr>
          <w:rFonts w:ascii="Calibri" w:eastAsia="Calibri" w:hAnsi="Calibri" w:cs="Times New Roman"/>
          <w:b/>
          <w:bCs/>
          <w:color w:val="595959"/>
          <w:sz w:val="24"/>
          <w:szCs w:val="24"/>
        </w:rPr>
      </w:pPr>
      <w:r w:rsidRPr="000C7C83">
        <w:rPr>
          <w:rFonts w:ascii="Calibri" w:eastAsia="Calibri" w:hAnsi="Calibri" w:cs="Times New Roman"/>
          <w:b/>
          <w:bCs/>
          <w:i/>
          <w:color w:val="000000" w:themeColor="text1"/>
          <w:sz w:val="24"/>
          <w:szCs w:val="24"/>
        </w:rPr>
        <w:t xml:space="preserve">FFIEC Finalizes June 2017 Proposed Revisions to Streamline the </w:t>
      </w:r>
      <w:r w:rsidR="00C45A3D">
        <w:rPr>
          <w:rFonts w:ascii="Calibri" w:eastAsia="Calibri" w:hAnsi="Calibri" w:cs="Times New Roman"/>
          <w:b/>
          <w:bCs/>
          <w:i/>
          <w:color w:val="000000" w:themeColor="text1"/>
          <w:sz w:val="24"/>
          <w:szCs w:val="24"/>
        </w:rPr>
        <w:t>“</w:t>
      </w:r>
      <w:r w:rsidRPr="000C7C83">
        <w:rPr>
          <w:rFonts w:ascii="Calibri" w:eastAsia="Calibri" w:hAnsi="Calibri" w:cs="Times New Roman"/>
          <w:b/>
          <w:bCs/>
          <w:i/>
          <w:color w:val="000000" w:themeColor="text1"/>
          <w:sz w:val="24"/>
          <w:szCs w:val="24"/>
        </w:rPr>
        <w:t>Call Report</w:t>
      </w:r>
      <w:r w:rsidR="00C45A3D">
        <w:rPr>
          <w:rFonts w:ascii="Calibri" w:eastAsia="Calibri" w:hAnsi="Calibri" w:cs="Times New Roman"/>
          <w:b/>
          <w:bCs/>
          <w:i/>
          <w:color w:val="000000" w:themeColor="text1"/>
          <w:sz w:val="24"/>
          <w:szCs w:val="24"/>
        </w:rPr>
        <w:t>”</w:t>
      </w:r>
      <w:r w:rsidRPr="000C7C83">
        <w:rPr>
          <w:rFonts w:ascii="Calibri" w:eastAsia="Calibri" w:hAnsi="Calibri" w:cs="Times New Roman"/>
          <w:b/>
          <w:bCs/>
          <w:i/>
          <w:color w:val="000000" w:themeColor="text1"/>
          <w:sz w:val="24"/>
          <w:szCs w:val="24"/>
        </w:rPr>
        <w:t xml:space="preserve"> (01.03.2018</w:t>
      </w:r>
      <w:r w:rsidRPr="000C7C83">
        <w:rPr>
          <w:rFonts w:ascii="Calibri" w:eastAsia="Calibri" w:hAnsi="Calibri" w:cs="Times New Roman"/>
          <w:b/>
          <w:bCs/>
          <w:color w:val="595959"/>
          <w:sz w:val="24"/>
          <w:szCs w:val="24"/>
        </w:rPr>
        <w:t xml:space="preserve">) </w:t>
      </w:r>
      <w:r w:rsidRPr="000C7C83">
        <w:rPr>
          <w:rFonts w:ascii="Calibri" w:eastAsia="Calibri" w:hAnsi="Calibri" w:cs="Times New Roman"/>
          <w:b/>
          <w:bCs/>
          <w:noProof/>
          <w:color w:val="595959"/>
          <w:sz w:val="24"/>
          <w:szCs w:val="24"/>
        </w:rPr>
        <w:drawing>
          <wp:inline distT="0" distB="0" distL="0" distR="0" wp14:anchorId="4A1DAC08" wp14:editId="6F5D93E8">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 xml:space="preserve">The three federal banking agencies, as members of the Federal Financial Institutions Examination Council (FFIEC), have finalized a proposal issued in June 2017 to reduce the reporting burden associated with the preparation and filing of the </w:t>
      </w:r>
      <w:r w:rsidR="00C45A3D">
        <w:rPr>
          <w:rFonts w:ascii="Calibri" w:eastAsia="Times New Roman" w:hAnsi="Calibri" w:cs="Arial"/>
          <w:color w:val="000000"/>
          <w:sz w:val="24"/>
          <w:szCs w:val="24"/>
        </w:rPr>
        <w:t>“</w:t>
      </w:r>
      <w:r w:rsidRPr="000C7C83">
        <w:rPr>
          <w:rFonts w:ascii="Calibri" w:eastAsia="Times New Roman" w:hAnsi="Calibri" w:cs="Arial"/>
          <w:color w:val="000000"/>
          <w:sz w:val="24"/>
          <w:szCs w:val="24"/>
        </w:rPr>
        <w:t>Call Report.</w:t>
      </w:r>
      <w:r w:rsidR="00C45A3D">
        <w:rPr>
          <w:rFonts w:ascii="Calibri" w:eastAsia="Times New Roman" w:hAnsi="Calibri" w:cs="Arial"/>
          <w:color w:val="000000"/>
          <w:sz w:val="24"/>
          <w:szCs w:val="24"/>
        </w:rPr>
        <w:t>”</w:t>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 xml:space="preserve">For small institutions, the finalized changes will remove, raise the reporting threshold for, or reduce the reporting frequency of approximately seven percent of the data items on the Call Report. Other burden-reducing changes are included for larger institutions. </w:t>
      </w:r>
      <w:r w:rsidRPr="000C7C83">
        <w:rPr>
          <w:rFonts w:ascii="Calibri" w:eastAsia="Times New Roman" w:hAnsi="Calibri" w:cs="Arial"/>
          <w:color w:val="000000"/>
          <w:sz w:val="24"/>
          <w:szCs w:val="24"/>
          <w:u w:val="single"/>
        </w:rPr>
        <w:t xml:space="preserve">These changes from the Federal Reserve Board, the </w:t>
      </w:r>
      <w:r w:rsidRPr="000C7C83">
        <w:rPr>
          <w:rFonts w:ascii="Calibri" w:eastAsia="Times New Roman" w:hAnsi="Calibri" w:cs="Arial"/>
          <w:color w:val="000000"/>
          <w:sz w:val="24"/>
          <w:szCs w:val="24"/>
          <w:u w:val="single"/>
        </w:rPr>
        <w:lastRenderedPageBreak/>
        <w:t>Federal Deposit Insurance Corporation, and the Office of the Comptroller of the Currency will be effective as of June 30, 2018.</w:t>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 xml:space="preserve">Additionally, several Call Report schedules will be revised in response to changes in the accounting for equity securities. </w:t>
      </w:r>
      <w:r w:rsidRPr="000C7C83">
        <w:rPr>
          <w:rFonts w:ascii="Calibri" w:eastAsia="Times New Roman" w:hAnsi="Calibri" w:cs="Arial"/>
          <w:color w:val="000000"/>
          <w:sz w:val="24"/>
          <w:szCs w:val="24"/>
          <w:u w:val="single"/>
        </w:rPr>
        <w:t>The effective date of the changes involving the reporting of equity investments is March 31, 2018.</w:t>
      </w:r>
    </w:p>
    <w:p w:rsidR="000C7C83" w:rsidRPr="000C7C83" w:rsidRDefault="000C7C83" w:rsidP="000C7C83">
      <w:pPr>
        <w:spacing w:before="120" w:after="120"/>
        <w:rPr>
          <w:rFonts w:ascii="Calibri" w:eastAsia="Times New Roman" w:hAnsi="Calibri" w:cs="Arial"/>
          <w:color w:val="000000"/>
          <w:sz w:val="24"/>
          <w:szCs w:val="24"/>
        </w:rPr>
      </w:pPr>
      <w:r w:rsidRPr="000C7C83">
        <w:rPr>
          <w:rFonts w:ascii="Calibri" w:eastAsia="Times New Roman" w:hAnsi="Calibri" w:cs="Arial"/>
          <w:color w:val="000000"/>
          <w:sz w:val="24"/>
          <w:szCs w:val="24"/>
        </w:rPr>
        <w:t>After considering the comments received on the June 2017 proposal, the FFIEC and the agencies are not proceeding with a proposed revision to the instructions for determining past due status.</w:t>
      </w:r>
    </w:p>
    <w:p w:rsidR="000C7C83" w:rsidRPr="000C7C83" w:rsidRDefault="000C7C83" w:rsidP="00001EFA">
      <w:pPr>
        <w:spacing w:before="120" w:after="120"/>
        <w:rPr>
          <w:rFonts w:ascii="Calibri" w:eastAsia="Times New Roman" w:hAnsi="Calibri" w:cs="Arial"/>
          <w:b/>
          <w:color w:val="000000"/>
          <w:sz w:val="24"/>
          <w:szCs w:val="24"/>
        </w:rPr>
      </w:pPr>
      <w:bookmarkStart w:id="7" w:name="_Hlk504370743"/>
      <w:r w:rsidRPr="000C7C83">
        <w:rPr>
          <w:rFonts w:ascii="Calibri" w:eastAsia="Times New Roman" w:hAnsi="Calibri" w:cs="Arial"/>
          <w:b/>
          <w:color w:val="000000"/>
          <w:sz w:val="24"/>
          <w:szCs w:val="24"/>
        </w:rPr>
        <w:t xml:space="preserve">Source </w:t>
      </w:r>
      <w:hyperlink r:id="rId13" w:history="1">
        <w:r w:rsidRPr="000C7C83">
          <w:rPr>
            <w:rFonts w:ascii="Calibri" w:eastAsia="Times New Roman" w:hAnsi="Calibri" w:cs="Arial"/>
            <w:b/>
            <w:color w:val="0563C1"/>
            <w:sz w:val="24"/>
            <w:szCs w:val="24"/>
            <w:u w:val="single"/>
          </w:rPr>
          <w:t>link</w:t>
        </w:r>
      </w:hyperlink>
      <w:r w:rsidRPr="000C7C83">
        <w:rPr>
          <w:rFonts w:ascii="Calibri" w:eastAsia="Times New Roman" w:hAnsi="Calibri" w:cs="Arial"/>
          <w:b/>
          <w:color w:val="000000"/>
          <w:sz w:val="24"/>
          <w:szCs w:val="24"/>
        </w:rPr>
        <w:t xml:space="preserve">. </w:t>
      </w:r>
    </w:p>
    <w:bookmarkEnd w:id="7"/>
    <w:p w:rsidR="000C7C83" w:rsidRPr="001F2350" w:rsidRDefault="000C7C83" w:rsidP="001F2350">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740025C9" wp14:editId="44B68F9F">
                <wp:extent cx="9525" cy="9525"/>
                <wp:effectExtent l="0" t="0" r="0" b="0"/>
                <wp:docPr id="1"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BD6FF"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tgwwIAANw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MV1&#10;e2DDAgAA3AUAAA4AAAAAAAAAAAAAAAAALgIAAGRycy9lMm9Eb2MueG1sUEsBAi0AFAAGAAgAAAAh&#10;ANQI2TfYAAAAAQEAAA8AAAAAAAAAAAAAAAAAHQUAAGRycy9kb3ducmV2LnhtbFBLBQYAAAAABAAE&#10;APMAAAAiBgAAAAA=&#10;" filled="f" stroked="f">
                <o:lock v:ext="edit" aspectratio="t"/>
                <w10:anchorlock/>
              </v:rect>
            </w:pict>
          </mc:Fallback>
        </mc:AlternateContent>
      </w:r>
      <w:r w:rsidR="001F2350" w:rsidRPr="001F2350">
        <w:rPr>
          <w:rFonts w:ascii="Calibri" w:eastAsia="Calibri" w:hAnsi="Calibri" w:cs="Times New Roman"/>
          <w:b/>
          <w:i/>
          <w:color w:val="002060"/>
          <w:sz w:val="24"/>
          <w:szCs w:val="24"/>
        </w:rPr>
        <w:t xml:space="preserve">According to the release, the finalized changes </w:t>
      </w:r>
      <w:r w:rsidR="00C45A3D">
        <w:rPr>
          <w:rFonts w:ascii="Calibri" w:eastAsia="Calibri" w:hAnsi="Calibri" w:cs="Times New Roman"/>
          <w:b/>
          <w:i/>
          <w:color w:val="002060"/>
          <w:sz w:val="24"/>
          <w:szCs w:val="24"/>
        </w:rPr>
        <w:t>“</w:t>
      </w:r>
      <w:r w:rsidR="001F2350" w:rsidRPr="001F2350">
        <w:rPr>
          <w:rFonts w:ascii="Calibri" w:eastAsia="Calibri" w:hAnsi="Calibri" w:cs="Times New Roman"/>
          <w:b/>
          <w:i/>
          <w:color w:val="002060"/>
          <w:sz w:val="24"/>
          <w:szCs w:val="24"/>
        </w:rPr>
        <w:t>remove, raise the reporting threshold for, or reduce the reporting frequency of approximately seven percent of the data items on the Call Report</w:t>
      </w:r>
      <w:r w:rsidR="00C45A3D">
        <w:rPr>
          <w:rFonts w:ascii="Calibri" w:eastAsia="Calibri" w:hAnsi="Calibri" w:cs="Times New Roman"/>
          <w:b/>
          <w:i/>
          <w:color w:val="002060"/>
          <w:sz w:val="24"/>
          <w:szCs w:val="24"/>
        </w:rPr>
        <w:t>”</w:t>
      </w:r>
      <w:r w:rsidR="001F2350" w:rsidRPr="001F2350">
        <w:rPr>
          <w:rFonts w:ascii="Calibri" w:eastAsia="Calibri" w:hAnsi="Calibri" w:cs="Times New Roman"/>
          <w:b/>
          <w:i/>
          <w:color w:val="002060"/>
          <w:sz w:val="24"/>
          <w:szCs w:val="24"/>
        </w:rPr>
        <w:t xml:space="preserve"> for small institutions, while other burden-reducing changes are included for larger institutions.</w:t>
      </w:r>
      <w:r w:rsidR="001F2350">
        <w:rPr>
          <w:rFonts w:ascii="Calibri" w:eastAsia="Calibri" w:hAnsi="Calibri" w:cs="Times New Roman"/>
          <w:b/>
          <w:i/>
          <w:color w:val="002060"/>
          <w:sz w:val="24"/>
          <w:szCs w:val="24"/>
        </w:rPr>
        <w:t xml:space="preserve"> </w:t>
      </w:r>
      <w:r w:rsidR="001F2350" w:rsidRPr="001F2350">
        <w:rPr>
          <w:rFonts w:ascii="Calibri" w:eastAsia="Calibri" w:hAnsi="Calibri" w:cs="Times New Roman"/>
          <w:b/>
          <w:i/>
          <w:color w:val="002060"/>
          <w:sz w:val="24"/>
          <w:szCs w:val="24"/>
        </w:rPr>
        <w:t>Reflecting revisions in accounting rules, changes in the reports involving the reporting of equity investments are effective March 31, the release stated.</w:t>
      </w:r>
      <w:r w:rsidR="001F2350">
        <w:rPr>
          <w:rFonts w:ascii="Calibri" w:eastAsia="Calibri" w:hAnsi="Calibri" w:cs="Times New Roman"/>
          <w:b/>
          <w:i/>
          <w:color w:val="002060"/>
          <w:sz w:val="24"/>
          <w:szCs w:val="24"/>
        </w:rPr>
        <w:t xml:space="preserve"> </w:t>
      </w:r>
      <w:r w:rsidR="00141797" w:rsidRPr="00141797">
        <w:rPr>
          <w:rFonts w:ascii="Calibri" w:eastAsia="Calibri" w:hAnsi="Calibri" w:cs="Times New Roman"/>
          <w:b/>
          <w:i/>
          <w:color w:val="002060"/>
          <w:sz w:val="24"/>
          <w:szCs w:val="24"/>
        </w:rPr>
        <w:t>The FFIEC really did provide some regulatory burden relief with this one.  Be sure that systems are updated for these changes.</w:t>
      </w:r>
      <w:r w:rsidR="001F2350" w:rsidRPr="001F2350">
        <w:t xml:space="preserve"> </w:t>
      </w:r>
    </w:p>
    <w:p w:rsidR="000C7C83" w:rsidRPr="000C7C83" w:rsidRDefault="000C7C83" w:rsidP="000C7C83">
      <w:pPr>
        <w:spacing w:before="120" w:after="120"/>
        <w:rPr>
          <w:rFonts w:ascii="Calibri" w:eastAsia="Calibri" w:hAnsi="Calibri" w:cs="Times New Roman"/>
          <w:sz w:val="24"/>
          <w:szCs w:val="24"/>
        </w:rPr>
      </w:pPr>
    </w:p>
    <w:p w:rsidR="000C7C83" w:rsidRPr="000C7C83" w:rsidRDefault="000C7C83" w:rsidP="000C7C83">
      <w:pPr>
        <w:spacing w:before="120" w:after="120"/>
        <w:rPr>
          <w:rFonts w:ascii="Calibri" w:eastAsia="Calibri" w:hAnsi="Calibri" w:cs="Times New Roman"/>
          <w:b/>
          <w:bCs/>
          <w:color w:val="595959"/>
          <w:sz w:val="24"/>
          <w:szCs w:val="24"/>
        </w:rPr>
      </w:pPr>
      <w:r w:rsidRPr="000C7C83">
        <w:rPr>
          <w:rFonts w:ascii="Calibri" w:eastAsia="Calibri" w:hAnsi="Calibri" w:cs="Times New Roman"/>
          <w:b/>
          <w:bCs/>
          <w:i/>
          <w:color w:val="000000" w:themeColor="text1"/>
          <w:sz w:val="24"/>
          <w:szCs w:val="24"/>
        </w:rPr>
        <w:t>Agencies Release Annual CRA Asset-Size Threshold Adjustments for Small and Intermediate Small Institutions (12.21.2017)</w:t>
      </w:r>
      <w:r w:rsidRPr="000C7C83">
        <w:rPr>
          <w:rFonts w:ascii="Calibri" w:eastAsia="Calibri" w:hAnsi="Calibri" w:cs="Times New Roman"/>
          <w:b/>
          <w:bCs/>
          <w:color w:val="000000" w:themeColor="text1"/>
          <w:sz w:val="24"/>
          <w:szCs w:val="24"/>
        </w:rPr>
        <w:t xml:space="preserve"> </w:t>
      </w:r>
      <w:r w:rsidRPr="000C7C83">
        <w:rPr>
          <w:rFonts w:ascii="Calibri" w:eastAsia="Calibri" w:hAnsi="Calibri" w:cs="Times New Roman"/>
          <w:b/>
          <w:bCs/>
          <w:noProof/>
          <w:color w:val="595959"/>
          <w:sz w:val="24"/>
          <w:szCs w:val="24"/>
        </w:rPr>
        <w:drawing>
          <wp:inline distT="0" distB="0" distL="0" distR="0" wp14:anchorId="2AB0AD7D" wp14:editId="56FC6F5F">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WASHINGTON—The federal bank regulatory agencies today announced the annual adjustment to the asset-size thresholds used to define small bank, small savings association, intermediate small bank, and intermediate small savings association under the Community Reinvestment Act (CRA) regulations.</w:t>
      </w:r>
    </w:p>
    <w:p w:rsidR="000C7C83" w:rsidRPr="000C7C83" w:rsidRDefault="000C7C83" w:rsidP="000C7C83">
      <w:pPr>
        <w:spacing w:before="120" w:after="120"/>
        <w:rPr>
          <w:rFonts w:ascii="Calibri" w:eastAsia="Calibri" w:hAnsi="Calibri" w:cs="Times New Roman"/>
          <w:sz w:val="24"/>
          <w:szCs w:val="24"/>
        </w:rPr>
      </w:pPr>
      <w:bookmarkStart w:id="8" w:name="_Hlk504553439"/>
      <w:r w:rsidRPr="000C7C83">
        <w:rPr>
          <w:rFonts w:ascii="Calibri" w:eastAsia="Calibri" w:hAnsi="Calibri" w:cs="Times New Roman"/>
          <w:sz w:val="24"/>
          <w:szCs w:val="24"/>
        </w:rPr>
        <w:t>The annual adjustments are required by the CRA rules. Financial institutions are evaluated under different CRA examination procedures based upon their asset-size classification. Those meeting the small and intermediate small institution asset-size thresholds are not subject to the reporting requirements applicable to large banks and savings associations unless they choose to be evaluated as a large institution.</w:t>
      </w:r>
    </w:p>
    <w:bookmarkEnd w:id="8"/>
    <w:p w:rsidR="000C7C83" w:rsidRPr="000C7C83" w:rsidRDefault="000C7C83" w:rsidP="000C7C83">
      <w:pPr>
        <w:spacing w:before="120" w:after="120"/>
        <w:rPr>
          <w:rFonts w:ascii="Calibri" w:eastAsia="Calibri" w:hAnsi="Calibri" w:cs="Times New Roman"/>
          <w:sz w:val="24"/>
          <w:szCs w:val="24"/>
        </w:rPr>
      </w:pPr>
      <w:proofErr w:type="gramStart"/>
      <w:r w:rsidRPr="000C7C83">
        <w:rPr>
          <w:rFonts w:ascii="Calibri" w:eastAsia="Calibri" w:hAnsi="Calibri" w:cs="Times New Roman"/>
          <w:sz w:val="24"/>
          <w:szCs w:val="24"/>
        </w:rPr>
        <w:t>As a result of</w:t>
      </w:r>
      <w:proofErr w:type="gramEnd"/>
      <w:r w:rsidRPr="000C7C83">
        <w:rPr>
          <w:rFonts w:ascii="Calibri" w:eastAsia="Calibri" w:hAnsi="Calibri" w:cs="Times New Roman"/>
          <w:sz w:val="24"/>
          <w:szCs w:val="24"/>
        </w:rPr>
        <w:t xml:space="preserve"> the 2.11 percent increase in the CPI-W for the period ending in November 2017, the definitions of small and intermediate small institutions for CRA examinations will change as follows:</w:t>
      </w:r>
    </w:p>
    <w:p w:rsidR="000C7C83" w:rsidRPr="000C7C83" w:rsidRDefault="00C45A3D" w:rsidP="000C7C83">
      <w:pPr>
        <w:numPr>
          <w:ilvl w:val="0"/>
          <w:numId w:val="38"/>
        </w:numPr>
        <w:spacing w:before="120" w:after="120" w:line="259" w:lineRule="auto"/>
        <w:rPr>
          <w:rFonts w:ascii="Calibri" w:eastAsia="Calibri" w:hAnsi="Calibri" w:cs="Times New Roman"/>
          <w:sz w:val="24"/>
          <w:szCs w:val="24"/>
        </w:rPr>
      </w:pPr>
      <w:r>
        <w:rPr>
          <w:rFonts w:ascii="Calibri" w:eastAsia="Calibri" w:hAnsi="Calibri" w:cs="Times New Roman"/>
          <w:sz w:val="24"/>
          <w:szCs w:val="24"/>
        </w:rPr>
        <w:t>“</w:t>
      </w:r>
      <w:r w:rsidR="000C7C83" w:rsidRPr="000C7C83">
        <w:rPr>
          <w:rFonts w:ascii="Calibri" w:eastAsia="Calibri" w:hAnsi="Calibri" w:cs="Times New Roman"/>
          <w:sz w:val="24"/>
          <w:szCs w:val="24"/>
        </w:rPr>
        <w:t>Small bank</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or </w:t>
      </w:r>
      <w:r>
        <w:rPr>
          <w:rFonts w:ascii="Calibri" w:eastAsia="Calibri" w:hAnsi="Calibri" w:cs="Times New Roman"/>
          <w:sz w:val="24"/>
          <w:szCs w:val="24"/>
        </w:rPr>
        <w:t>“</w:t>
      </w:r>
      <w:r w:rsidR="000C7C83" w:rsidRPr="000C7C83">
        <w:rPr>
          <w:rFonts w:ascii="Calibri" w:eastAsia="Calibri" w:hAnsi="Calibri" w:cs="Times New Roman"/>
          <w:sz w:val="24"/>
          <w:szCs w:val="24"/>
        </w:rPr>
        <w:t>small savings association</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means an institution that, as of December 31 of either of the prior two calendar years, had assets of less than $1.252 billion.</w:t>
      </w:r>
    </w:p>
    <w:p w:rsidR="000C7C83" w:rsidRPr="000C7C83" w:rsidRDefault="00C45A3D" w:rsidP="000C7C83">
      <w:pPr>
        <w:numPr>
          <w:ilvl w:val="0"/>
          <w:numId w:val="38"/>
        </w:numPr>
        <w:spacing w:before="120" w:after="120" w:line="259" w:lineRule="auto"/>
        <w:rPr>
          <w:rFonts w:ascii="Calibri" w:eastAsia="Calibri" w:hAnsi="Calibri" w:cs="Times New Roman"/>
          <w:sz w:val="24"/>
          <w:szCs w:val="24"/>
        </w:rPr>
      </w:pPr>
      <w:r>
        <w:rPr>
          <w:rFonts w:ascii="Calibri" w:eastAsia="Calibri" w:hAnsi="Calibri" w:cs="Times New Roman"/>
          <w:sz w:val="24"/>
          <w:szCs w:val="24"/>
        </w:rPr>
        <w:t>“</w:t>
      </w:r>
      <w:r w:rsidR="000C7C83" w:rsidRPr="000C7C83">
        <w:rPr>
          <w:rFonts w:ascii="Calibri" w:eastAsia="Calibri" w:hAnsi="Calibri" w:cs="Times New Roman"/>
          <w:sz w:val="24"/>
          <w:szCs w:val="24"/>
        </w:rPr>
        <w:t>Intermediate small bank</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or </w:t>
      </w:r>
      <w:r>
        <w:rPr>
          <w:rFonts w:ascii="Calibri" w:eastAsia="Calibri" w:hAnsi="Calibri" w:cs="Times New Roman"/>
          <w:sz w:val="24"/>
          <w:szCs w:val="24"/>
        </w:rPr>
        <w:t>“</w:t>
      </w:r>
      <w:r w:rsidR="000C7C83" w:rsidRPr="000C7C83">
        <w:rPr>
          <w:rFonts w:ascii="Calibri" w:eastAsia="Calibri" w:hAnsi="Calibri" w:cs="Times New Roman"/>
          <w:sz w:val="24"/>
          <w:szCs w:val="24"/>
        </w:rPr>
        <w:t>intermediate small savings association</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means a small institution with assets of at least $313 million as of December 31 of </w:t>
      </w:r>
      <w:proofErr w:type="gramStart"/>
      <w:r w:rsidR="000C7C83" w:rsidRPr="000C7C83">
        <w:rPr>
          <w:rFonts w:ascii="Calibri" w:eastAsia="Calibri" w:hAnsi="Calibri" w:cs="Times New Roman"/>
          <w:sz w:val="24"/>
          <w:szCs w:val="24"/>
        </w:rPr>
        <w:t>both of the prior</w:t>
      </w:r>
      <w:proofErr w:type="gramEnd"/>
      <w:r w:rsidR="000C7C83" w:rsidRPr="000C7C83">
        <w:rPr>
          <w:rFonts w:ascii="Calibri" w:eastAsia="Calibri" w:hAnsi="Calibri" w:cs="Times New Roman"/>
          <w:sz w:val="24"/>
          <w:szCs w:val="24"/>
        </w:rPr>
        <w:t xml:space="preserve"> two calendar years and less than $1.252 billion as of December 31 of either of the prior two calendar years.</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15"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color w:val="002060"/>
          <w:sz w:val="24"/>
          <w:szCs w:val="24"/>
        </w:rPr>
      </w:pPr>
      <w:r w:rsidRPr="000C7C83">
        <w:rPr>
          <w:rFonts w:ascii="Calibri" w:eastAsia="Calibri" w:hAnsi="Calibri" w:cs="Times New Roman"/>
          <w:b/>
          <w:i/>
          <w:color w:val="002060"/>
          <w:sz w:val="24"/>
          <w:szCs w:val="24"/>
        </w:rPr>
        <w:t xml:space="preserve">Comment: </w:t>
      </w:r>
      <w:r w:rsidR="00337B3D" w:rsidRPr="00337B3D">
        <w:rPr>
          <w:rFonts w:ascii="Calibri" w:eastAsia="Calibri" w:hAnsi="Calibri" w:cs="Times New Roman"/>
          <w:b/>
          <w:i/>
          <w:color w:val="002060"/>
          <w:sz w:val="24"/>
          <w:szCs w:val="24"/>
        </w:rPr>
        <w:t xml:space="preserve">The annual adjustments are required by the CRA rules. Financial institutions are evaluated under different CRA examination procedures based upon their asset-size classification. Those meeting the small and intermediate small institution asset-size thresholds are not subject to the reporting requirements applicable to large banks and savings associations unless they choose to be evaluated as a large institution. </w:t>
      </w:r>
      <w:r w:rsidR="00141797" w:rsidRPr="00141797">
        <w:rPr>
          <w:rFonts w:ascii="Calibri" w:eastAsia="Calibri" w:hAnsi="Calibri" w:cs="Times New Roman"/>
          <w:b/>
          <w:i/>
          <w:color w:val="002060"/>
          <w:sz w:val="24"/>
          <w:szCs w:val="24"/>
        </w:rPr>
        <w:t>These asset-size threshold adjustments are effective January 1, 2018. These brackets were originally set in 1977.  Merely updating for changes in CPI is inadequate, and ICBA is pressing for changes.</w:t>
      </w:r>
    </w:p>
    <w:p w:rsidR="00A52376" w:rsidRPr="00436AD8" w:rsidRDefault="00A52376" w:rsidP="002221C5">
      <w:pPr>
        <w:pStyle w:val="CCTOCHeading"/>
        <w:rPr>
          <w:rFonts w:asciiTheme="minorHAnsi" w:hAnsiTheme="minorHAnsi" w:cstheme="minorHAnsi"/>
        </w:rPr>
      </w:pPr>
      <w:bookmarkStart w:id="9" w:name="_Toc504562607"/>
      <w:r w:rsidRPr="00436AD8">
        <w:rPr>
          <w:rFonts w:asciiTheme="minorHAnsi" w:hAnsiTheme="minorHAnsi" w:cstheme="minorHAnsi"/>
        </w:rPr>
        <w:t>CFPB actions</w:t>
      </w:r>
      <w:bookmarkEnd w:id="4"/>
      <w:bookmarkEnd w:id="5"/>
      <w:bookmarkEnd w:id="9"/>
      <w:r w:rsidRPr="00436AD8">
        <w:rPr>
          <w:rFonts w:asciiTheme="minorHAnsi" w:hAnsiTheme="minorHAnsi" w:cstheme="minorHAnsi"/>
        </w:rPr>
        <w:t xml:space="preserve"> </w:t>
      </w:r>
    </w:p>
    <w:p w:rsidR="000C7C83" w:rsidRPr="00012A95" w:rsidRDefault="000C7C83" w:rsidP="00012A95">
      <w:pPr>
        <w:spacing w:before="120" w:after="120"/>
        <w:rPr>
          <w:rFonts w:ascii="Calibri" w:eastAsia="Calibri" w:hAnsi="Calibri" w:cs="Times New Roman"/>
          <w:b/>
          <w:bCs/>
          <w:i/>
          <w:color w:val="000000" w:themeColor="text1"/>
          <w:sz w:val="24"/>
          <w:szCs w:val="24"/>
        </w:rPr>
      </w:pPr>
      <w:bookmarkStart w:id="10" w:name="_Toc504138794"/>
      <w:bookmarkStart w:id="11" w:name="_Hlk495909581"/>
      <w:bookmarkStart w:id="12" w:name="_Hlk493338318"/>
      <w:bookmarkStart w:id="13" w:name="_Toc409519094"/>
      <w:bookmarkStart w:id="14" w:name="_Hlk501111191"/>
      <w:bookmarkStart w:id="15" w:name="_Hlk498321497"/>
      <w:bookmarkEnd w:id="6"/>
      <w:r w:rsidRPr="000C7C83">
        <w:rPr>
          <w:rFonts w:ascii="Calibri" w:eastAsia="Calibri" w:hAnsi="Calibri" w:cs="Times New Roman"/>
          <w:b/>
          <w:bCs/>
          <w:i/>
          <w:color w:val="000000" w:themeColor="text1"/>
          <w:sz w:val="24"/>
          <w:szCs w:val="24"/>
        </w:rPr>
        <w:t>CFPB Statement on Payday Rule (01.16.2018)</w:t>
      </w:r>
    </w:p>
    <w:p w:rsidR="000C7C83" w:rsidRPr="00C45A3D" w:rsidRDefault="000C7C83" w:rsidP="00001EFA">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lastRenderedPageBreak/>
        <w:t>Washington, D.C. – The Bureau of Consumer Financial Protection (Bureau) today issued the following statement on the Payday Rule: </w:t>
      </w:r>
    </w:p>
    <w:p w:rsidR="000C7C83" w:rsidRPr="00C45A3D" w:rsidRDefault="00C45A3D" w:rsidP="00001EFA">
      <w:pPr>
        <w:spacing w:before="120" w:after="120"/>
        <w:rPr>
          <w:rFonts w:ascii="Calibri" w:eastAsia="Calibri" w:hAnsi="Calibri" w:cs="Times New Roman"/>
          <w:bCs/>
          <w:sz w:val="24"/>
          <w:szCs w:val="24"/>
        </w:rPr>
      </w:pPr>
      <w:r>
        <w:rPr>
          <w:rFonts w:ascii="Calibri" w:eastAsia="Calibri" w:hAnsi="Calibri" w:cs="Times New Roman"/>
          <w:bCs/>
          <w:sz w:val="24"/>
          <w:szCs w:val="24"/>
        </w:rPr>
        <w:t>“</w:t>
      </w:r>
      <w:r w:rsidR="000C7C83" w:rsidRPr="00C45A3D">
        <w:rPr>
          <w:rFonts w:ascii="Calibri" w:eastAsia="Calibri" w:hAnsi="Calibri" w:cs="Times New Roman"/>
          <w:bCs/>
          <w:sz w:val="24"/>
          <w:szCs w:val="24"/>
        </w:rPr>
        <w:t>January 16, 2018 is the effective date of the Bureau of Consumer Financial Protection</w:t>
      </w:r>
      <w:r>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s final rule entitled </w:t>
      </w:r>
      <w:r>
        <w:rPr>
          <w:rFonts w:ascii="Calibri" w:eastAsia="Calibri" w:hAnsi="Calibri" w:cs="Times New Roman"/>
          <w:bCs/>
          <w:sz w:val="24"/>
          <w:szCs w:val="24"/>
        </w:rPr>
        <w:t>“</w:t>
      </w:r>
      <w:r w:rsidR="000C7C83" w:rsidRPr="00C45A3D">
        <w:rPr>
          <w:rFonts w:ascii="Calibri" w:eastAsia="Calibri" w:hAnsi="Calibri" w:cs="Times New Roman"/>
          <w:bCs/>
          <w:sz w:val="24"/>
          <w:szCs w:val="24"/>
        </w:rPr>
        <w:t>Payday, Vehicle Title, and Certain High-Cost Installment Loans</w:t>
      </w:r>
      <w:r>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 (</w:t>
      </w:r>
      <w:r>
        <w:rPr>
          <w:rFonts w:ascii="Calibri" w:eastAsia="Calibri" w:hAnsi="Calibri" w:cs="Times New Roman"/>
          <w:bCs/>
          <w:sz w:val="24"/>
          <w:szCs w:val="24"/>
        </w:rPr>
        <w:t>“</w:t>
      </w:r>
      <w:r w:rsidR="000C7C83" w:rsidRPr="00C45A3D">
        <w:rPr>
          <w:rFonts w:ascii="Calibri" w:eastAsia="Calibri" w:hAnsi="Calibri" w:cs="Times New Roman"/>
          <w:bCs/>
          <w:sz w:val="24"/>
          <w:szCs w:val="24"/>
        </w:rPr>
        <w:t>Payday Rule</w:t>
      </w:r>
      <w:r>
        <w:rPr>
          <w:rFonts w:ascii="Calibri" w:eastAsia="Calibri" w:hAnsi="Calibri" w:cs="Times New Roman"/>
          <w:bCs/>
          <w:sz w:val="24"/>
          <w:szCs w:val="24"/>
        </w:rPr>
        <w:t>”</w:t>
      </w:r>
      <w:r w:rsidR="000C7C83" w:rsidRPr="00C45A3D">
        <w:rPr>
          <w:rFonts w:ascii="Calibri" w:eastAsia="Calibri" w:hAnsi="Calibri" w:cs="Times New Roman"/>
          <w:bCs/>
          <w:sz w:val="24"/>
          <w:szCs w:val="24"/>
        </w:rPr>
        <w:t>).  The Bureau intends to engage in a rulemaking process so that the Bureau may reconsider the Payday Rule.  </w:t>
      </w:r>
    </w:p>
    <w:p w:rsidR="000C7C83" w:rsidRPr="00C45A3D" w:rsidRDefault="000C7C83" w:rsidP="00001EFA">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Although most provisions of the Payday Rule do not require compliance until August 19, 2019, the effective date marks codification of the Payday Rule in the Code of Federal Regulations.  Today</w:t>
      </w:r>
      <w:r w:rsidR="00C45A3D">
        <w:rPr>
          <w:rFonts w:ascii="Calibri" w:eastAsia="Calibri" w:hAnsi="Calibri" w:cs="Times New Roman"/>
          <w:bCs/>
          <w:sz w:val="24"/>
          <w:szCs w:val="24"/>
        </w:rPr>
        <w:t>’</w:t>
      </w:r>
      <w:r w:rsidRPr="00C45A3D">
        <w:rPr>
          <w:rFonts w:ascii="Calibri" w:eastAsia="Calibri" w:hAnsi="Calibri" w:cs="Times New Roman"/>
          <w:bCs/>
          <w:sz w:val="24"/>
          <w:szCs w:val="24"/>
        </w:rPr>
        <w:t xml:space="preserve">s effective date also establishes April 16, 2018, as the deadline to </w:t>
      </w:r>
      <w:proofErr w:type="gramStart"/>
      <w:r w:rsidRPr="00C45A3D">
        <w:rPr>
          <w:rFonts w:ascii="Calibri" w:eastAsia="Calibri" w:hAnsi="Calibri" w:cs="Times New Roman"/>
          <w:bCs/>
          <w:sz w:val="24"/>
          <w:szCs w:val="24"/>
        </w:rPr>
        <w:t>submit an application</w:t>
      </w:r>
      <w:proofErr w:type="gramEnd"/>
      <w:r w:rsidRPr="00C45A3D">
        <w:rPr>
          <w:rFonts w:ascii="Calibri" w:eastAsia="Calibri" w:hAnsi="Calibri" w:cs="Times New Roman"/>
          <w:bCs/>
          <w:sz w:val="24"/>
          <w:szCs w:val="24"/>
        </w:rPr>
        <w:t xml:space="preserve"> for preliminary approval to become a registered information system (</w:t>
      </w:r>
      <w:r w:rsidR="00C45A3D">
        <w:rPr>
          <w:rFonts w:ascii="Calibri" w:eastAsia="Calibri" w:hAnsi="Calibri" w:cs="Times New Roman"/>
          <w:bCs/>
          <w:sz w:val="24"/>
          <w:szCs w:val="24"/>
        </w:rPr>
        <w:t>“</w:t>
      </w:r>
      <w:r w:rsidRPr="00C45A3D">
        <w:rPr>
          <w:rFonts w:ascii="Calibri" w:eastAsia="Calibri" w:hAnsi="Calibri" w:cs="Times New Roman"/>
          <w:bCs/>
          <w:sz w:val="24"/>
          <w:szCs w:val="24"/>
        </w:rPr>
        <w:t>RIS</w:t>
      </w:r>
      <w:r w:rsidR="00C45A3D">
        <w:rPr>
          <w:rFonts w:ascii="Calibri" w:eastAsia="Calibri" w:hAnsi="Calibri" w:cs="Times New Roman"/>
          <w:bCs/>
          <w:sz w:val="24"/>
          <w:szCs w:val="24"/>
        </w:rPr>
        <w:t>”</w:t>
      </w:r>
      <w:r w:rsidRPr="00C45A3D">
        <w:rPr>
          <w:rFonts w:ascii="Calibri" w:eastAsia="Calibri" w:hAnsi="Calibri" w:cs="Times New Roman"/>
          <w:bCs/>
          <w:sz w:val="24"/>
          <w:szCs w:val="24"/>
        </w:rPr>
        <w:t>) under the Payday Rule. However, the Bureau may waive this deadline pursuant to 12 C.F.R. 1041.11(c)(3)(iii). Recognizing that this preliminary application deadline might cause some entities to engage in work in preparing an application to become a RIS, the Bureau will entertain waiver requests from any potential applicant.</w:t>
      </w:r>
      <w:r w:rsidR="00C45A3D">
        <w:rPr>
          <w:rFonts w:ascii="Calibri" w:eastAsia="Calibri" w:hAnsi="Calibri" w:cs="Times New Roman"/>
          <w:bCs/>
          <w:sz w:val="24"/>
          <w:szCs w:val="24"/>
        </w:rPr>
        <w:t>”</w:t>
      </w:r>
    </w:p>
    <w:p w:rsidR="000C7C83" w:rsidRPr="000C7C83" w:rsidRDefault="000C7C83" w:rsidP="00001EFA">
      <w:pPr>
        <w:spacing w:before="120" w:after="120"/>
        <w:rPr>
          <w:rFonts w:ascii="Calibri" w:eastAsia="Calibri" w:hAnsi="Calibri" w:cs="Times New Roman"/>
          <w:b/>
          <w:bCs/>
          <w:color w:val="000000"/>
          <w:sz w:val="24"/>
          <w:szCs w:val="24"/>
        </w:rPr>
      </w:pPr>
      <w:r w:rsidRPr="000C7C83">
        <w:rPr>
          <w:rFonts w:ascii="Calibri" w:eastAsia="Calibri" w:hAnsi="Calibri" w:cs="Times New Roman"/>
          <w:b/>
          <w:bCs/>
          <w:color w:val="000000"/>
          <w:sz w:val="24"/>
          <w:szCs w:val="24"/>
        </w:rPr>
        <w:t xml:space="preserve">Source </w:t>
      </w:r>
      <w:hyperlink r:id="rId16" w:history="1">
        <w:r w:rsidRPr="000C7C83">
          <w:rPr>
            <w:rFonts w:ascii="Calibri" w:eastAsia="Calibri" w:hAnsi="Calibri" w:cs="Times New Roman"/>
            <w:b/>
            <w:bCs/>
            <w:color w:val="0563C1"/>
            <w:sz w:val="24"/>
            <w:szCs w:val="24"/>
            <w:u w:val="single"/>
          </w:rPr>
          <w:t>link</w:t>
        </w:r>
      </w:hyperlink>
      <w:r w:rsidRPr="000C7C83">
        <w:rPr>
          <w:rFonts w:ascii="Calibri" w:eastAsia="Calibri" w:hAnsi="Calibri" w:cs="Times New Roman"/>
          <w:b/>
          <w:bCs/>
          <w:color w:val="000000"/>
          <w:sz w:val="24"/>
          <w:szCs w:val="24"/>
        </w:rPr>
        <w:t xml:space="preserve">. </w:t>
      </w:r>
    </w:p>
    <w:p w:rsidR="000C7C83" w:rsidRP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7481FEE2" wp14:editId="3A1C0E21">
                <wp:extent cx="9525" cy="9525"/>
                <wp:effectExtent l="0" t="0" r="0" b="0"/>
                <wp:docPr id="14"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DBE3E"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3bxQIAAN0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5Eqd28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337B3D" w:rsidRPr="00337B3D">
        <w:rPr>
          <w:rFonts w:ascii="Calibri" w:eastAsia="Calibri" w:hAnsi="Calibri" w:cs="Times New Roman"/>
          <w:b/>
          <w:i/>
          <w:color w:val="002060"/>
          <w:sz w:val="24"/>
          <w:szCs w:val="24"/>
        </w:rPr>
        <w:t>The rules</w:t>
      </w:r>
      <w:r w:rsidR="00337B3D">
        <w:rPr>
          <w:rFonts w:ascii="Calibri" w:eastAsia="Calibri" w:hAnsi="Calibri" w:cs="Times New Roman"/>
          <w:b/>
          <w:i/>
          <w:color w:val="002060"/>
          <w:sz w:val="24"/>
          <w:szCs w:val="24"/>
        </w:rPr>
        <w:t xml:space="preserve"> </w:t>
      </w:r>
      <w:r w:rsidR="00337B3D" w:rsidRPr="00337B3D">
        <w:rPr>
          <w:rFonts w:ascii="Calibri" w:eastAsia="Calibri" w:hAnsi="Calibri" w:cs="Times New Roman"/>
          <w:b/>
          <w:i/>
          <w:color w:val="002060"/>
          <w:sz w:val="24"/>
          <w:szCs w:val="24"/>
        </w:rPr>
        <w:t>were likely</w:t>
      </w:r>
      <w:r w:rsidR="00337B3D">
        <w:rPr>
          <w:rFonts w:ascii="Calibri" w:eastAsia="Calibri" w:hAnsi="Calibri" w:cs="Times New Roman"/>
          <w:b/>
          <w:i/>
          <w:color w:val="002060"/>
          <w:sz w:val="24"/>
          <w:szCs w:val="24"/>
        </w:rPr>
        <w:t xml:space="preserve"> </w:t>
      </w:r>
      <w:r w:rsidR="00337B3D" w:rsidRPr="00337B3D">
        <w:rPr>
          <w:rFonts w:ascii="Calibri" w:eastAsia="Calibri" w:hAnsi="Calibri" w:cs="Times New Roman"/>
          <w:b/>
          <w:i/>
          <w:color w:val="002060"/>
          <w:sz w:val="24"/>
          <w:szCs w:val="24"/>
        </w:rPr>
        <w:t xml:space="preserve">to </w:t>
      </w:r>
      <w:r w:rsidR="00C45A3D">
        <w:rPr>
          <w:rFonts w:ascii="Calibri" w:eastAsia="Calibri" w:hAnsi="Calibri" w:cs="Times New Roman"/>
          <w:b/>
          <w:i/>
          <w:color w:val="002060"/>
          <w:sz w:val="24"/>
          <w:szCs w:val="24"/>
        </w:rPr>
        <w:t>“</w:t>
      </w:r>
      <w:r w:rsidR="00337B3D" w:rsidRPr="00337B3D">
        <w:rPr>
          <w:rFonts w:ascii="Calibri" w:eastAsia="Calibri" w:hAnsi="Calibri" w:cs="Times New Roman"/>
          <w:b/>
          <w:i/>
          <w:color w:val="002060"/>
          <w:sz w:val="24"/>
          <w:szCs w:val="24"/>
        </w:rPr>
        <w:t>restrict</w:t>
      </w:r>
      <w:r w:rsidR="00C45A3D">
        <w:rPr>
          <w:rFonts w:ascii="Calibri" w:eastAsia="Calibri" w:hAnsi="Calibri" w:cs="Times New Roman"/>
          <w:b/>
          <w:i/>
          <w:color w:val="002060"/>
          <w:sz w:val="24"/>
          <w:szCs w:val="24"/>
        </w:rPr>
        <w:t>”</w:t>
      </w:r>
      <w:r w:rsidR="00337B3D" w:rsidRPr="00337B3D">
        <w:rPr>
          <w:rFonts w:ascii="Calibri" w:eastAsia="Calibri" w:hAnsi="Calibri" w:cs="Times New Roman"/>
          <w:b/>
          <w:i/>
          <w:color w:val="002060"/>
          <w:sz w:val="24"/>
          <w:szCs w:val="24"/>
        </w:rPr>
        <w:t xml:space="preserve"> the industry</w:t>
      </w:r>
      <w:r w:rsidR="00C45A3D">
        <w:rPr>
          <w:rFonts w:ascii="Calibri" w:eastAsia="Calibri" w:hAnsi="Calibri" w:cs="Times New Roman"/>
          <w:b/>
          <w:i/>
          <w:color w:val="002060"/>
          <w:sz w:val="24"/>
          <w:szCs w:val="24"/>
        </w:rPr>
        <w:t>’</w:t>
      </w:r>
      <w:r w:rsidR="00337B3D" w:rsidRPr="00337B3D">
        <w:rPr>
          <w:rFonts w:ascii="Calibri" w:eastAsia="Calibri" w:hAnsi="Calibri" w:cs="Times New Roman"/>
          <w:b/>
          <w:i/>
          <w:color w:val="002060"/>
          <w:sz w:val="24"/>
          <w:szCs w:val="24"/>
        </w:rPr>
        <w:t>s revenue by two-thirds, largely by limiting repeat loans,</w:t>
      </w:r>
      <w:r w:rsidR="00337B3D">
        <w:rPr>
          <w:rFonts w:ascii="Calibri" w:eastAsia="Calibri" w:hAnsi="Calibri" w:cs="Times New Roman"/>
          <w:b/>
          <w:i/>
          <w:color w:val="002060"/>
          <w:sz w:val="24"/>
          <w:szCs w:val="24"/>
        </w:rPr>
        <w:t xml:space="preserve"> </w:t>
      </w:r>
      <w:r w:rsidR="00337B3D" w:rsidRPr="00337B3D">
        <w:rPr>
          <w:rFonts w:ascii="Calibri" w:eastAsia="Calibri" w:hAnsi="Calibri" w:cs="Times New Roman"/>
          <w:b/>
          <w:i/>
          <w:color w:val="002060"/>
          <w:sz w:val="24"/>
          <w:szCs w:val="24"/>
        </w:rPr>
        <w:t xml:space="preserve">the CFPB said when it finalized the rules last year. </w:t>
      </w:r>
      <w:r w:rsidR="00141797" w:rsidRPr="00141797">
        <w:rPr>
          <w:rFonts w:ascii="Calibri" w:eastAsia="Calibri" w:hAnsi="Calibri" w:cs="Times New Roman"/>
          <w:b/>
          <w:i/>
          <w:color w:val="002060"/>
          <w:sz w:val="24"/>
          <w:szCs w:val="24"/>
        </w:rPr>
        <w:t xml:space="preserve">Fortunately, the </w:t>
      </w:r>
      <w:r w:rsidR="00C45A3D">
        <w:rPr>
          <w:rFonts w:ascii="Calibri" w:eastAsia="Calibri" w:hAnsi="Calibri" w:cs="Times New Roman"/>
          <w:b/>
          <w:i/>
          <w:color w:val="002060"/>
          <w:sz w:val="24"/>
          <w:szCs w:val="24"/>
        </w:rPr>
        <w:t>“</w:t>
      </w:r>
      <w:r w:rsidR="00141797" w:rsidRPr="00141797">
        <w:rPr>
          <w:rFonts w:ascii="Calibri" w:eastAsia="Calibri" w:hAnsi="Calibri" w:cs="Times New Roman"/>
          <w:b/>
          <w:i/>
          <w:color w:val="002060"/>
          <w:sz w:val="24"/>
          <w:szCs w:val="24"/>
        </w:rPr>
        <w:t>ability to repay</w:t>
      </w:r>
      <w:r w:rsidR="00C45A3D">
        <w:rPr>
          <w:rFonts w:ascii="Calibri" w:eastAsia="Calibri" w:hAnsi="Calibri" w:cs="Times New Roman"/>
          <w:b/>
          <w:i/>
          <w:color w:val="002060"/>
          <w:sz w:val="24"/>
          <w:szCs w:val="24"/>
        </w:rPr>
        <w:t>”</w:t>
      </w:r>
      <w:r w:rsidR="00141797" w:rsidRPr="00141797">
        <w:rPr>
          <w:rFonts w:ascii="Calibri" w:eastAsia="Calibri" w:hAnsi="Calibri" w:cs="Times New Roman"/>
          <w:b/>
          <w:i/>
          <w:color w:val="002060"/>
          <w:sz w:val="24"/>
          <w:szCs w:val="24"/>
        </w:rPr>
        <w:t xml:space="preserve"> analysis in this rule applies to loans that are 45 days or shorter.  Most of the requirements should not apply to community banks.  Nonetheless, the CFPB review should be of interest.</w:t>
      </w:r>
    </w:p>
    <w:p w:rsidR="000C7C83" w:rsidRPr="000C7C83" w:rsidRDefault="000C7C83" w:rsidP="000C7C83">
      <w:pPr>
        <w:rPr>
          <w:rFonts w:ascii="Calibri" w:eastAsia="Calibri" w:hAnsi="Calibri" w:cs="Times New Roman"/>
          <w:b/>
          <w:bCs/>
          <w:color w:val="595959"/>
          <w:sz w:val="24"/>
          <w:szCs w:val="24"/>
        </w:rPr>
      </w:pPr>
    </w:p>
    <w:p w:rsidR="000C7C83" w:rsidRPr="000C7C83" w:rsidRDefault="000C7C83" w:rsidP="00012A95">
      <w:pPr>
        <w:spacing w:before="120" w:after="120"/>
        <w:rPr>
          <w:rFonts w:ascii="Calibri" w:eastAsia="Calibri" w:hAnsi="Calibri" w:cs="Times New Roman"/>
          <w:b/>
          <w:bCs/>
          <w:i/>
          <w:color w:val="000000" w:themeColor="text1"/>
          <w:sz w:val="24"/>
          <w:szCs w:val="24"/>
        </w:rPr>
      </w:pPr>
      <w:r w:rsidRPr="000C7C83">
        <w:rPr>
          <w:rFonts w:ascii="Calibri" w:eastAsia="Calibri" w:hAnsi="Calibri" w:cs="Times New Roman"/>
          <w:b/>
          <w:bCs/>
          <w:i/>
          <w:color w:val="000000" w:themeColor="text1"/>
          <w:sz w:val="24"/>
          <w:szCs w:val="24"/>
        </w:rPr>
        <w:t>Bureau issues Civil Penalty Inflation Adjustments final rule (01.12.2018)</w:t>
      </w:r>
      <w:r w:rsidR="00FA6A93">
        <w:rPr>
          <w:rFonts w:ascii="Calibri" w:eastAsia="Calibri" w:hAnsi="Calibri" w:cs="Times New Roman"/>
          <w:b/>
          <w:bCs/>
          <w:i/>
          <w:color w:val="000000" w:themeColor="text1"/>
          <w:sz w:val="24"/>
          <w:szCs w:val="24"/>
        </w:rPr>
        <w:t xml:space="preserve"> </w:t>
      </w:r>
      <w:r w:rsidR="00FA6A93">
        <w:rPr>
          <w:rFonts w:ascii="Calibri" w:eastAsia="Calibri" w:hAnsi="Calibri" w:cs="Times New Roman"/>
          <w:b/>
          <w:bCs/>
          <w:i/>
          <w:noProof/>
          <w:color w:val="000000" w:themeColor="text1"/>
          <w:sz w:val="24"/>
          <w:szCs w:val="24"/>
        </w:rPr>
        <w:drawing>
          <wp:inline distT="0" distB="0" distL="0" distR="0" wp14:anchorId="6DF66545">
            <wp:extent cx="274320"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On Jan. 12, 2018, the Bureau announced the annual adjustments for inflation to the Bureau</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civil penalty amounts, as required by the Federal Civil Penalties Inflation Adjustment Act, as amended. This final rule became effective on Jan. 15, 2018.  </w:t>
      </w:r>
    </w:p>
    <w:p w:rsidR="0069394F" w:rsidRPr="00D01198" w:rsidRDefault="000C7C83" w:rsidP="00001EFA">
      <w:pPr>
        <w:spacing w:before="120" w:after="120"/>
        <w:rPr>
          <w:rFonts w:ascii="Calibri" w:eastAsia="Calibri" w:hAnsi="Calibri" w:cs="Calibri"/>
          <w:color w:val="0071CD"/>
          <w:sz w:val="24"/>
          <w:szCs w:val="24"/>
          <w:u w:val="single"/>
        </w:rPr>
      </w:pPr>
      <w:r w:rsidRPr="000C7C83">
        <w:rPr>
          <w:rFonts w:ascii="Calibri" w:eastAsia="Calibri" w:hAnsi="Calibri" w:cs="Arial"/>
          <w:color w:val="000000"/>
          <w:sz w:val="24"/>
          <w:szCs w:val="24"/>
        </w:rPr>
        <w:t xml:space="preserve">You can access the final rule at: </w:t>
      </w:r>
      <w:hyperlink r:id="rId17" w:history="1">
        <w:r w:rsidRPr="000C7C83">
          <w:rPr>
            <w:rFonts w:ascii="Calibri" w:eastAsia="Calibri" w:hAnsi="Calibri" w:cs="Calibri"/>
            <w:color w:val="0071CD"/>
            <w:sz w:val="24"/>
            <w:szCs w:val="24"/>
            <w:u w:val="single"/>
          </w:rPr>
          <w:t>https://www.consumerfinance.gov/policy-compliance/rulemaking/final-rules/civil-penalty-inflation-annual-adjustments/</w:t>
        </w:r>
      </w:hyperlink>
    </w:p>
    <w:p w:rsidR="000C7C83" w:rsidRPr="000C7C83" w:rsidRDefault="000C7C83" w:rsidP="00001EFA">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6156D34A" wp14:editId="5AF4ACC6">
                <wp:extent cx="9525" cy="9525"/>
                <wp:effectExtent l="0" t="0" r="0" b="0"/>
                <wp:docPr id="24"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C43AA"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JsxgIAAN0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DhHsmz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2008E4" w:rsidRPr="002008E4">
        <w:rPr>
          <w:rFonts w:ascii="Calibri" w:hAnsi="Calibri"/>
          <w:b/>
          <w:i/>
          <w:color w:val="002060"/>
          <w:sz w:val="24"/>
          <w:szCs w:val="24"/>
          <w:shd w:val="clear" w:color="auto" w:fill="FFFFFF"/>
        </w:rPr>
        <w:t>The civil penalties adjusted by the CFPB are the Tier 1-3 penalties set forth in Section 1055 of Dodd-Frank</w:t>
      </w:r>
      <w:r w:rsidR="002008E4">
        <w:rPr>
          <w:rFonts w:ascii="Calibri" w:hAnsi="Calibri"/>
          <w:b/>
          <w:i/>
          <w:color w:val="002060"/>
          <w:sz w:val="24"/>
          <w:szCs w:val="24"/>
          <w:shd w:val="clear" w:color="auto" w:fill="FFFFFF"/>
        </w:rPr>
        <w:t xml:space="preserve"> and various regulations.</w:t>
      </w:r>
      <w:r w:rsidR="002008E4" w:rsidRPr="002008E4">
        <w:rPr>
          <w:rFonts w:ascii="Calibri" w:hAnsi="Calibri"/>
          <w:b/>
          <w:i/>
          <w:color w:val="002060"/>
          <w:sz w:val="24"/>
          <w:szCs w:val="24"/>
          <w:shd w:val="clear" w:color="auto" w:fill="FFFFFF"/>
        </w:rPr>
        <w:t xml:space="preserve"> </w:t>
      </w:r>
      <w:r w:rsidR="00337B3D" w:rsidRPr="002008E4">
        <w:rPr>
          <w:rFonts w:ascii="Calibri" w:eastAsia="Calibri" w:hAnsi="Calibri" w:cs="Times New Roman"/>
          <w:b/>
          <w:i/>
          <w:color w:val="002060"/>
          <w:sz w:val="24"/>
          <w:szCs w:val="24"/>
        </w:rPr>
        <w:t>The new penalty amounts apply to civil penalties assessed after January 15, 2018.</w:t>
      </w:r>
    </w:p>
    <w:p w:rsidR="000C7C83" w:rsidRPr="000C7C83" w:rsidRDefault="000C7C83" w:rsidP="000C7C83">
      <w:pPr>
        <w:rPr>
          <w:rFonts w:ascii="Calibri" w:eastAsia="Calibri" w:hAnsi="Calibri" w:cs="Times New Roman"/>
          <w:b/>
          <w:bCs/>
          <w:color w:val="595959"/>
          <w:sz w:val="24"/>
          <w:szCs w:val="24"/>
        </w:rPr>
      </w:pPr>
    </w:p>
    <w:p w:rsidR="000C7C83" w:rsidRPr="00012A95" w:rsidRDefault="000C7C83" w:rsidP="00012A95">
      <w:pPr>
        <w:spacing w:before="120" w:after="120"/>
        <w:rPr>
          <w:rFonts w:ascii="Calibri" w:eastAsia="Calibri" w:hAnsi="Calibri" w:cs="Times New Roman"/>
          <w:b/>
          <w:bCs/>
          <w:i/>
          <w:color w:val="000000" w:themeColor="text1"/>
          <w:sz w:val="24"/>
          <w:szCs w:val="24"/>
        </w:rPr>
      </w:pPr>
      <w:r w:rsidRPr="000C7C83">
        <w:rPr>
          <w:rFonts w:ascii="Calibri" w:eastAsia="Calibri" w:hAnsi="Calibri" w:cs="Times New Roman"/>
          <w:b/>
          <w:bCs/>
          <w:i/>
          <w:color w:val="000000" w:themeColor="text1"/>
          <w:sz w:val="24"/>
          <w:szCs w:val="24"/>
        </w:rPr>
        <w:t>Bureau issues annual notice of asset-size exemption thresholds for Regulations C and Z Compliance (12.27.2017)</w:t>
      </w:r>
      <w:r w:rsidR="00E5308D">
        <w:rPr>
          <w:rFonts w:ascii="Calibri" w:eastAsia="Calibri" w:hAnsi="Calibri" w:cs="Times New Roman"/>
          <w:b/>
          <w:bCs/>
          <w:i/>
          <w:color w:val="000000" w:themeColor="text1"/>
          <w:sz w:val="24"/>
          <w:szCs w:val="24"/>
        </w:rPr>
        <w:t xml:space="preserve"> </w:t>
      </w:r>
      <w:r w:rsidR="00E5308D">
        <w:rPr>
          <w:rFonts w:ascii="Calibri" w:eastAsia="Calibri" w:hAnsi="Calibri" w:cs="Times New Roman"/>
          <w:b/>
          <w:bCs/>
          <w:i/>
          <w:noProof/>
          <w:color w:val="000000" w:themeColor="text1"/>
          <w:sz w:val="24"/>
          <w:szCs w:val="24"/>
        </w:rPr>
        <w:drawing>
          <wp:inline distT="0" distB="0" distL="0" distR="0" wp14:anchorId="0792AC15">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 xml:space="preserve">On Dec. 27, 2017, </w:t>
      </w:r>
      <w:bookmarkStart w:id="16" w:name="_Hlk504554359"/>
      <w:r w:rsidRPr="000C7C83">
        <w:rPr>
          <w:rFonts w:ascii="Calibri" w:eastAsia="Calibri" w:hAnsi="Calibri" w:cs="Arial"/>
          <w:color w:val="000000"/>
          <w:sz w:val="24"/>
          <w:szCs w:val="24"/>
        </w:rPr>
        <w:t xml:space="preserve">the Bureau announced the asset-size exemption thresholds for depository institutions under Regulation C </w:t>
      </w:r>
      <w:bookmarkEnd w:id="16"/>
      <w:r w:rsidRPr="000C7C83">
        <w:rPr>
          <w:rFonts w:ascii="Calibri" w:eastAsia="Calibri" w:hAnsi="Calibri" w:cs="Arial"/>
          <w:color w:val="000000"/>
          <w:sz w:val="24"/>
          <w:szCs w:val="24"/>
        </w:rPr>
        <w:t xml:space="preserve">and for </w:t>
      </w:r>
      <w:bookmarkStart w:id="17" w:name="_Hlk504554023"/>
      <w:r w:rsidRPr="000C7C83">
        <w:rPr>
          <w:rFonts w:ascii="Calibri" w:eastAsia="Calibri" w:hAnsi="Calibri" w:cs="Arial"/>
          <w:color w:val="000000"/>
          <w:sz w:val="24"/>
          <w:szCs w:val="24"/>
        </w:rPr>
        <w:t>creditors under the escrow requirements and small-creditor portfolio and balloon-payment qualified mortgage requirements, and the prohibition against balloon-payment high-cost mortgages under Regulation Z. These thresholds became effective Jan. 1, 2018.</w:t>
      </w:r>
      <w:bookmarkEnd w:id="17"/>
    </w:p>
    <w:p w:rsidR="000C7C83" w:rsidRPr="000C7C83" w:rsidRDefault="000C7C83" w:rsidP="00001EFA">
      <w:pPr>
        <w:spacing w:before="120" w:after="120"/>
        <w:rPr>
          <w:rFonts w:ascii="Calibri" w:eastAsia="Calibri" w:hAnsi="Calibri" w:cs="Calibri"/>
          <w:sz w:val="24"/>
          <w:szCs w:val="24"/>
        </w:rPr>
      </w:pPr>
      <w:r w:rsidRPr="000C7C83">
        <w:rPr>
          <w:rFonts w:ascii="Calibri" w:eastAsia="Calibri" w:hAnsi="Calibri" w:cs="Arial"/>
          <w:color w:val="000000"/>
          <w:sz w:val="24"/>
          <w:szCs w:val="24"/>
        </w:rPr>
        <w:t xml:space="preserve">You can access the notices at: </w:t>
      </w:r>
      <w:r w:rsidR="00001EFA">
        <w:rPr>
          <w:rFonts w:ascii="Calibri" w:eastAsia="Calibri" w:hAnsi="Calibri" w:cs="Arial"/>
          <w:color w:val="000000"/>
          <w:sz w:val="24"/>
          <w:szCs w:val="24"/>
        </w:rPr>
        <w:br/>
      </w:r>
      <w:r w:rsidRPr="000C7C83">
        <w:rPr>
          <w:rFonts w:ascii="Calibri" w:eastAsia="Calibri" w:hAnsi="Calibri" w:cs="Arial"/>
          <w:b/>
          <w:bCs/>
          <w:color w:val="000000"/>
          <w:sz w:val="24"/>
          <w:szCs w:val="24"/>
        </w:rPr>
        <w:t>Regulation C</w:t>
      </w:r>
      <w:r w:rsidRPr="000C7C83">
        <w:rPr>
          <w:rFonts w:ascii="Calibri" w:eastAsia="Calibri" w:hAnsi="Calibri" w:cs="Arial"/>
          <w:color w:val="000000"/>
          <w:sz w:val="24"/>
          <w:szCs w:val="24"/>
        </w:rPr>
        <w:t xml:space="preserve">: </w:t>
      </w:r>
      <w:hyperlink r:id="rId18" w:history="1">
        <w:r w:rsidRPr="000C7C83">
          <w:rPr>
            <w:rFonts w:ascii="Calibri" w:eastAsia="Calibri" w:hAnsi="Calibri" w:cs="Calibri"/>
            <w:color w:val="0071CD"/>
            <w:sz w:val="24"/>
            <w:szCs w:val="24"/>
            <w:u w:val="single"/>
          </w:rPr>
          <w:t>http://www.consumerfinance.gov/policy-compliance/rulemaking/final-rules/home-mortgage-disclosure-regulation-c-adjustment-asset-size-exemption-threshold/</w:t>
        </w:r>
      </w:hyperlink>
    </w:p>
    <w:p w:rsidR="000C7C83" w:rsidRPr="000C7C83" w:rsidRDefault="000C7C83" w:rsidP="00001EFA">
      <w:pPr>
        <w:spacing w:before="120" w:after="120"/>
        <w:rPr>
          <w:rFonts w:ascii="Calibri" w:eastAsia="Calibri" w:hAnsi="Calibri" w:cs="Calibri"/>
          <w:sz w:val="24"/>
          <w:szCs w:val="24"/>
        </w:rPr>
      </w:pPr>
      <w:r w:rsidRPr="000C7C83">
        <w:rPr>
          <w:rFonts w:ascii="Calibri" w:eastAsia="Calibri" w:hAnsi="Calibri" w:cs="Arial"/>
          <w:b/>
          <w:bCs/>
          <w:color w:val="000000"/>
          <w:sz w:val="24"/>
          <w:szCs w:val="24"/>
        </w:rPr>
        <w:t>Regulation Z</w:t>
      </w:r>
      <w:r w:rsidRPr="000C7C83">
        <w:rPr>
          <w:rFonts w:ascii="Calibri" w:eastAsia="Calibri" w:hAnsi="Calibri" w:cs="Arial"/>
          <w:color w:val="000000"/>
          <w:sz w:val="24"/>
          <w:szCs w:val="24"/>
        </w:rPr>
        <w:t xml:space="preserve">: </w:t>
      </w:r>
      <w:hyperlink r:id="rId19" w:history="1">
        <w:r w:rsidRPr="000C7C83">
          <w:rPr>
            <w:rFonts w:ascii="Calibri" w:eastAsia="Calibri" w:hAnsi="Calibri" w:cs="Calibri"/>
            <w:color w:val="0071CD"/>
            <w:sz w:val="24"/>
            <w:szCs w:val="24"/>
            <w:u w:val="single"/>
          </w:rPr>
          <w:t>http://www.consumerfinance.gov/policy-compliance/rulemaking/final-rules/truth-lending-act-regulation-z-adjustment-asset-size-exemption-threshold/</w:t>
        </w:r>
      </w:hyperlink>
    </w:p>
    <w:p w:rsidR="000C7C83" w:rsidRPr="000C7C83" w:rsidRDefault="000C7C83" w:rsidP="00001EFA">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77952189" wp14:editId="2F347D68">
                <wp:extent cx="9525" cy="9525"/>
                <wp:effectExtent l="0" t="0" r="0" b="0"/>
                <wp:docPr id="26"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C17DD"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PxgIAAN0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Gz9LI/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834B67">
        <w:rPr>
          <w:rFonts w:ascii="Calibri" w:eastAsia="Calibri" w:hAnsi="Calibri" w:cs="Times New Roman"/>
          <w:b/>
          <w:i/>
          <w:color w:val="002060"/>
          <w:sz w:val="24"/>
          <w:szCs w:val="24"/>
        </w:rPr>
        <w:t xml:space="preserve">These annual asset size adjustments </w:t>
      </w:r>
      <w:r w:rsidR="00A500F7">
        <w:rPr>
          <w:rFonts w:ascii="Calibri" w:eastAsia="Calibri" w:hAnsi="Calibri" w:cs="Times New Roman"/>
          <w:b/>
          <w:i/>
          <w:color w:val="002060"/>
          <w:sz w:val="24"/>
          <w:szCs w:val="24"/>
        </w:rPr>
        <w:t>are statutorily mandated. For Regulation C, the</w:t>
      </w:r>
      <w:r w:rsidR="00A500F7" w:rsidRPr="00A500F7">
        <w:rPr>
          <w:rFonts w:ascii="Calibri" w:eastAsia="Calibri" w:hAnsi="Calibri" w:cs="Times New Roman"/>
          <w:b/>
          <w:i/>
          <w:color w:val="002060"/>
          <w:sz w:val="24"/>
          <w:szCs w:val="24"/>
        </w:rPr>
        <w:t xml:space="preserve"> CFPB increased the 2017 </w:t>
      </w:r>
      <w:r w:rsidR="00A500F7">
        <w:rPr>
          <w:rFonts w:ascii="Calibri" w:eastAsia="Calibri" w:hAnsi="Calibri" w:cs="Times New Roman"/>
          <w:b/>
          <w:i/>
          <w:color w:val="002060"/>
          <w:sz w:val="24"/>
          <w:szCs w:val="24"/>
        </w:rPr>
        <w:t xml:space="preserve">reporting </w:t>
      </w:r>
      <w:r w:rsidR="00A500F7" w:rsidRPr="00A500F7">
        <w:rPr>
          <w:rFonts w:ascii="Calibri" w:eastAsia="Calibri" w:hAnsi="Calibri" w:cs="Times New Roman"/>
          <w:b/>
          <w:i/>
          <w:color w:val="002060"/>
          <w:sz w:val="24"/>
          <w:szCs w:val="24"/>
        </w:rPr>
        <w:t>threshold of $44 million to $45 million for 2018.</w:t>
      </w:r>
      <w:r w:rsidR="00A500F7">
        <w:rPr>
          <w:rFonts w:ascii="Calibri" w:eastAsia="Calibri" w:hAnsi="Calibri" w:cs="Times New Roman"/>
          <w:b/>
          <w:i/>
          <w:color w:val="002060"/>
          <w:sz w:val="24"/>
          <w:szCs w:val="24"/>
        </w:rPr>
        <w:t xml:space="preserve"> For Regulation Z,</w:t>
      </w:r>
      <w:r w:rsidR="00A500F7" w:rsidRPr="00A500F7">
        <w:rPr>
          <w:rFonts w:ascii="Helvetica" w:hAnsi="Helvetica"/>
          <w:color w:val="333E47"/>
          <w:shd w:val="clear" w:color="auto" w:fill="FFFFFF"/>
        </w:rPr>
        <w:t xml:space="preserve"> </w:t>
      </w:r>
      <w:r w:rsidR="00A500F7" w:rsidRPr="00A500F7">
        <w:rPr>
          <w:rFonts w:ascii="Calibri" w:eastAsia="Calibri" w:hAnsi="Calibri" w:cs="Times New Roman"/>
          <w:b/>
          <w:i/>
          <w:color w:val="002060"/>
          <w:sz w:val="24"/>
          <w:szCs w:val="24"/>
        </w:rPr>
        <w:t xml:space="preserve">the CFPB </w:t>
      </w:r>
      <w:r w:rsidR="00A500F7" w:rsidRPr="00A500F7">
        <w:rPr>
          <w:rFonts w:ascii="Calibri" w:eastAsia="Calibri" w:hAnsi="Calibri" w:cs="Times New Roman"/>
          <w:b/>
          <w:i/>
          <w:color w:val="002060"/>
          <w:sz w:val="24"/>
          <w:szCs w:val="24"/>
        </w:rPr>
        <w:lastRenderedPageBreak/>
        <w:t>increased the 2017 threshold from $2.069 billion to $2.112 billion for 2018</w:t>
      </w:r>
      <w:r w:rsidR="00A500F7">
        <w:rPr>
          <w:rFonts w:ascii="Calibri" w:eastAsia="Calibri" w:hAnsi="Calibri" w:cs="Times New Roman"/>
          <w:b/>
          <w:i/>
          <w:color w:val="002060"/>
          <w:sz w:val="24"/>
          <w:szCs w:val="24"/>
        </w:rPr>
        <w:t xml:space="preserve"> for requirements that</w:t>
      </w:r>
      <w:r w:rsidR="00A500F7" w:rsidRPr="00A500F7">
        <w:rPr>
          <w:rFonts w:ascii="Calibri" w:eastAsia="Calibri" w:hAnsi="Calibri" w:cs="Times New Roman"/>
          <w:b/>
          <w:i/>
          <w:color w:val="002060"/>
          <w:sz w:val="24"/>
          <w:szCs w:val="24"/>
        </w:rPr>
        <w:t xml:space="preserve"> creditors establish an escrow account to pay property taxes and insurance premiums for certain first-lien higher-priced mortgages</w:t>
      </w:r>
      <w:r w:rsidR="00A500F7">
        <w:rPr>
          <w:rFonts w:ascii="Calibri" w:eastAsia="Calibri" w:hAnsi="Calibri" w:cs="Times New Roman"/>
          <w:b/>
          <w:i/>
          <w:color w:val="002060"/>
          <w:sz w:val="24"/>
          <w:szCs w:val="24"/>
        </w:rPr>
        <w:t>.</w:t>
      </w:r>
    </w:p>
    <w:p w:rsidR="000C7C83" w:rsidRPr="000C7C83" w:rsidRDefault="000C7C83" w:rsidP="000C7C83">
      <w:pPr>
        <w:spacing w:before="120" w:after="120"/>
        <w:rPr>
          <w:rFonts w:ascii="Calibri" w:eastAsia="Calibri" w:hAnsi="Calibri" w:cs="Times New Roman"/>
          <w:b/>
          <w:bCs/>
          <w:color w:val="595959"/>
          <w:sz w:val="24"/>
          <w:szCs w:val="24"/>
        </w:rPr>
      </w:pP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CFPB Launches New HMDA Tools: Check Digit and Rate Spread Calculator (12.27.2017)</w:t>
      </w:r>
    </w:p>
    <w:p w:rsidR="000C7C83" w:rsidRPr="000C7C83" w:rsidRDefault="00141797" w:rsidP="000C7C83">
      <w:pPr>
        <w:spacing w:before="120" w:after="120"/>
        <w:rPr>
          <w:rFonts w:ascii="Calibri" w:eastAsia="Calibri" w:hAnsi="Calibri" w:cs="Times New Roman"/>
          <w:bCs/>
          <w:sz w:val="24"/>
          <w:szCs w:val="24"/>
        </w:rPr>
      </w:pPr>
      <w:r>
        <w:rPr>
          <w:rFonts w:ascii="Calibri" w:eastAsia="Calibri" w:hAnsi="Calibri" w:cs="Times New Roman"/>
          <w:bCs/>
          <w:sz w:val="24"/>
          <w:szCs w:val="24"/>
        </w:rPr>
        <w:t xml:space="preserve">The Bureau </w:t>
      </w:r>
      <w:r w:rsidR="000C7C83" w:rsidRPr="000C7C83">
        <w:rPr>
          <w:rFonts w:ascii="Calibri" w:eastAsia="Calibri" w:hAnsi="Calibri" w:cs="Times New Roman"/>
          <w:bCs/>
          <w:sz w:val="24"/>
          <w:szCs w:val="24"/>
        </w:rPr>
        <w:t>announce</w:t>
      </w:r>
      <w:r>
        <w:rPr>
          <w:rFonts w:ascii="Calibri" w:eastAsia="Calibri" w:hAnsi="Calibri" w:cs="Times New Roman"/>
          <w:bCs/>
          <w:sz w:val="24"/>
          <w:szCs w:val="24"/>
        </w:rPr>
        <w:t>d</w:t>
      </w:r>
      <w:r w:rsidR="000C7C83" w:rsidRPr="000C7C83">
        <w:rPr>
          <w:rFonts w:ascii="Calibri" w:eastAsia="Calibri" w:hAnsi="Calibri" w:cs="Times New Roman"/>
          <w:bCs/>
          <w:sz w:val="24"/>
          <w:szCs w:val="24"/>
        </w:rPr>
        <w:t xml:space="preserve"> the launch of the HMDA Check Digit Tool and Rate Spread Calculator. The CFPB provides the new Rate Spread Calculator for use with data collected in or after 2018. The Check Digit Tool and Rate Spread Calculator will remain available to financial institutions throughout the 2018 collection period and thereafter to support calculation of data field values required for reporting HMDA data.</w:t>
      </w:r>
    </w:p>
    <w:p w:rsidR="000C7C83" w:rsidRPr="000C7C83" w:rsidRDefault="000C7C83" w:rsidP="000C7C83">
      <w:pPr>
        <w:spacing w:before="120" w:after="120"/>
        <w:rPr>
          <w:rFonts w:ascii="Calibri" w:eastAsia="Calibri" w:hAnsi="Calibri" w:cs="Times New Roman"/>
          <w:bCs/>
          <w:sz w:val="24"/>
          <w:szCs w:val="24"/>
        </w:rPr>
      </w:pPr>
      <w:r w:rsidRPr="000C7C83">
        <w:rPr>
          <w:rFonts w:ascii="Calibri" w:eastAsia="Calibri" w:hAnsi="Calibri" w:cs="Times New Roman"/>
          <w:bCs/>
          <w:sz w:val="24"/>
          <w:szCs w:val="24"/>
        </w:rPr>
        <w:t>Check out the tools here: </w:t>
      </w:r>
      <w:hyperlink r:id="rId20" w:history="1">
        <w:r w:rsidRPr="000C7C83">
          <w:rPr>
            <w:rFonts w:ascii="Calibri" w:eastAsia="Calibri" w:hAnsi="Calibri" w:cs="Times New Roman"/>
            <w:bCs/>
            <w:color w:val="0563C1"/>
            <w:sz w:val="24"/>
            <w:szCs w:val="24"/>
            <w:u w:val="single"/>
          </w:rPr>
          <w:t>https://www.consumerfinance.gov/data-research/hmda/for-filers</w:t>
        </w:r>
      </w:hyperlink>
    </w:p>
    <w:p w:rsid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0BBBC358" wp14:editId="3D41C22A">
                <wp:extent cx="9525" cy="9525"/>
                <wp:effectExtent l="0" t="0" r="0" b="0"/>
                <wp:docPr id="27"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66B0C"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P+xgIAAN0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Eag4/7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503CE8" w:rsidRPr="00503CE8">
        <w:rPr>
          <w:rFonts w:ascii="Calibri" w:eastAsia="Calibri" w:hAnsi="Calibri" w:cs="Times New Roman"/>
          <w:b/>
          <w:i/>
          <w:color w:val="002060"/>
          <w:sz w:val="24"/>
          <w:szCs w:val="24"/>
        </w:rPr>
        <w:t xml:space="preserve">According to the CFPB, the HMDA Check Digit Tool and the Rate Spread Calculator will remain available to financial institutions throughout the 2018 collection period and beyond. </w:t>
      </w:r>
      <w:r w:rsidR="00141797" w:rsidRPr="00141797">
        <w:rPr>
          <w:rFonts w:ascii="Calibri" w:eastAsia="Calibri" w:hAnsi="Calibri" w:cs="Times New Roman"/>
          <w:b/>
          <w:i/>
          <w:color w:val="002060"/>
          <w:sz w:val="24"/>
          <w:szCs w:val="24"/>
        </w:rPr>
        <w:t>Meanwhile, the House has approved legislation that would exempt more community banks.  Now the Senate needs to act.</w:t>
      </w:r>
    </w:p>
    <w:p w:rsidR="00613179" w:rsidRPr="000C7C83" w:rsidRDefault="00613179" w:rsidP="000C7C83">
      <w:pPr>
        <w:spacing w:before="120" w:after="120"/>
        <w:rPr>
          <w:rFonts w:ascii="Calibri" w:eastAsia="Calibri" w:hAnsi="Calibri" w:cs="Times New Roman"/>
          <w:b/>
          <w:i/>
          <w:color w:val="002060"/>
          <w:sz w:val="24"/>
          <w:szCs w:val="24"/>
        </w:rPr>
      </w:pPr>
    </w:p>
    <w:p w:rsidR="00613179" w:rsidRPr="00012A95" w:rsidRDefault="00613179" w:rsidP="00012A95">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 xml:space="preserve">CFPB Releases Report on the State of the Credit Card Market </w:t>
      </w:r>
      <w:r w:rsidRPr="00C3017B">
        <w:rPr>
          <w:rFonts w:ascii="Calibri" w:eastAsia="Calibri" w:hAnsi="Calibri" w:cs="Times New Roman"/>
          <w:b/>
          <w:i/>
          <w:color w:val="000000" w:themeColor="text1"/>
          <w:sz w:val="24"/>
          <w:szCs w:val="24"/>
        </w:rPr>
        <w:t xml:space="preserve">(12.27.2017) </w:t>
      </w:r>
    </w:p>
    <w:p w:rsidR="00613179" w:rsidRPr="000C7C83" w:rsidRDefault="00613179" w:rsidP="00613179">
      <w:pPr>
        <w:autoSpaceDE w:val="0"/>
        <w:autoSpaceDN w:val="0"/>
        <w:adjustRightInd w:val="0"/>
        <w:rPr>
          <w:rFonts w:ascii="Calibri" w:eastAsia="Calibri" w:hAnsi="Calibri" w:cs="Courier New"/>
          <w:sz w:val="24"/>
          <w:szCs w:val="24"/>
        </w:rPr>
      </w:pPr>
      <w:r w:rsidRPr="000C7C83">
        <w:rPr>
          <w:rFonts w:ascii="Calibri" w:eastAsia="Calibri" w:hAnsi="Calibri" w:cs="Courier New"/>
          <w:sz w:val="24"/>
          <w:szCs w:val="24"/>
        </w:rPr>
        <w:t>Credit related insurance and other debt protection are products sold in conjunction with credit that extinguish a consumer</w:t>
      </w:r>
      <w:r w:rsidR="00C45A3D">
        <w:rPr>
          <w:rFonts w:ascii="Calibri" w:eastAsia="Calibri" w:hAnsi="Calibri" w:cs="Courier New"/>
          <w:sz w:val="24"/>
          <w:szCs w:val="24"/>
        </w:rPr>
        <w:t>’</w:t>
      </w:r>
      <w:r w:rsidRPr="000C7C83">
        <w:rPr>
          <w:rFonts w:ascii="Calibri" w:eastAsia="Calibri" w:hAnsi="Calibri" w:cs="Courier New"/>
          <w:sz w:val="24"/>
          <w:szCs w:val="24"/>
        </w:rPr>
        <w:t>s debt or suspends its periodic payments if events like death, disability, or involuntary unemployment occur. High penetration rates observed in the 1950s and 1960s raised concerns about coercion in the sale of credit insurance. This study presents evidence on credit insurance purchase and debt protection decisions from a new survey. The findings provide little evidence of widespread or systematic coercion in purchases. Instead, findings suggest that risk aversion and health or financial concerns motivate consumers to purchase credit insurance and debt protection, just as these concerns also motivate purchases of other types of insurance.</w:t>
      </w:r>
    </w:p>
    <w:p w:rsidR="00613179" w:rsidRPr="000C7C83" w:rsidRDefault="00613179"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21"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613179" w:rsidRDefault="00613179" w:rsidP="00613179">
      <w:pPr>
        <w:spacing w:before="120" w:after="120" w:line="259" w:lineRule="auto"/>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79815BA3" wp14:editId="72A567E2">
                <wp:extent cx="9525" cy="9525"/>
                <wp:effectExtent l="0" t="0" r="0" b="0"/>
                <wp:docPr id="32"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273D1"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AOiapIxwIAAN0FAAAOAAAAAAAAAAAAAAAAAC4CAABkcnMvZTJvRG9jLnhtbFBLAQItABQABgAI&#10;AAAAIQDUCNk32AAAAAEBAAAPAAAAAAAAAAAAAAAAACEFAABkcnMvZG93bnJldi54bWxQSwUGAAAA&#10;AAQABADzAAAAJgYAAAAA&#10;" filled="f" stroked="f">
                <o:lock v:ext="edit" aspectratio="t"/>
                <w10:anchorlock/>
              </v:rect>
            </w:pict>
          </mc:Fallback>
        </mc:AlternateContent>
      </w:r>
      <w:r w:rsidRPr="00113146">
        <w:rPr>
          <w:rFonts w:ascii="Calibri" w:eastAsia="Calibri" w:hAnsi="Calibri" w:cs="Times New Roman"/>
          <w:b/>
          <w:i/>
          <w:color w:val="002060"/>
          <w:sz w:val="24"/>
          <w:szCs w:val="24"/>
        </w:rPr>
        <w:t>Outstanding credit card debt increased by nine percent, and the total value of consumer credit lines is now $4 trillion, an increase from 2015, but still below the $4.4 trillion high of 2008. 2016 saw 110 million new credit card accounts being opened by consumers – the most cards opened in any year since 2007.</w:t>
      </w:r>
    </w:p>
    <w:p w:rsidR="00613179" w:rsidRPr="000C7C83" w:rsidRDefault="00613179" w:rsidP="000C7C83">
      <w:pPr>
        <w:spacing w:before="120" w:after="120"/>
        <w:rPr>
          <w:rFonts w:ascii="Calibri" w:eastAsia="Calibri" w:hAnsi="Calibri" w:cs="Times New Roman"/>
          <w:b/>
          <w:bCs/>
          <w:color w:val="595959"/>
          <w:sz w:val="24"/>
          <w:szCs w:val="24"/>
        </w:rPr>
      </w:pP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 xml:space="preserve">CFPB Issues Public Statement </w:t>
      </w:r>
      <w:proofErr w:type="gramStart"/>
      <w:r w:rsidRPr="00C3017B">
        <w:rPr>
          <w:rFonts w:ascii="Calibri" w:eastAsia="Calibri" w:hAnsi="Calibri" w:cs="Times New Roman"/>
          <w:b/>
          <w:bCs/>
          <w:i/>
          <w:color w:val="000000" w:themeColor="text1"/>
          <w:sz w:val="24"/>
          <w:szCs w:val="24"/>
        </w:rPr>
        <w:t>On</w:t>
      </w:r>
      <w:proofErr w:type="gramEnd"/>
      <w:r w:rsidRPr="00C3017B">
        <w:rPr>
          <w:rFonts w:ascii="Calibri" w:eastAsia="Calibri" w:hAnsi="Calibri" w:cs="Times New Roman"/>
          <w:b/>
          <w:bCs/>
          <w:i/>
          <w:color w:val="000000" w:themeColor="text1"/>
          <w:sz w:val="24"/>
          <w:szCs w:val="24"/>
        </w:rPr>
        <w:t xml:space="preserve"> Home Mortgage Disclosure Act Compliance (12.21.2017)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b/>
          <w:bCs/>
          <w:sz w:val="24"/>
          <w:szCs w:val="24"/>
        </w:rPr>
        <w:t>WASHINGTON, D.C. </w:t>
      </w:r>
      <w:r w:rsidRPr="000C7C83">
        <w:rPr>
          <w:rFonts w:ascii="Calibri" w:eastAsia="Calibri" w:hAnsi="Calibri" w:cs="Times New Roman"/>
          <w:sz w:val="24"/>
          <w:szCs w:val="24"/>
        </w:rPr>
        <w:t>– The Consumer Financial Protection Bureau (CFPB) today issued a public statement announcing that the Bureau does not intend to require data resubmission unless data errors are material or assess penalties with respect to errors for data collected in 2018 and reported in 2019 under the Home Mortgage Disclosure Act (HMDA). The Bureau also announced it intends to open a rulemaking to reconsider various aspects of the Bureau</w:t>
      </w:r>
      <w:r w:rsidR="00C45A3D">
        <w:rPr>
          <w:rFonts w:ascii="Calibri" w:eastAsia="Calibri" w:hAnsi="Calibri" w:cs="Times New Roman"/>
          <w:sz w:val="24"/>
          <w:szCs w:val="24"/>
        </w:rPr>
        <w:t>’</w:t>
      </w:r>
      <w:r w:rsidRPr="000C7C83">
        <w:rPr>
          <w:rFonts w:ascii="Calibri" w:eastAsia="Calibri" w:hAnsi="Calibri" w:cs="Times New Roman"/>
          <w:sz w:val="24"/>
          <w:szCs w:val="24"/>
        </w:rPr>
        <w:t>s 2015 HMDA rule, such as the institutional and transactional coverage tests and the rule</w:t>
      </w:r>
      <w:r w:rsidR="00C45A3D">
        <w:rPr>
          <w:rFonts w:ascii="Calibri" w:eastAsia="Calibri" w:hAnsi="Calibri" w:cs="Times New Roman"/>
          <w:sz w:val="24"/>
          <w:szCs w:val="24"/>
        </w:rPr>
        <w:t>’</w:t>
      </w:r>
      <w:r w:rsidRPr="000C7C83">
        <w:rPr>
          <w:rFonts w:ascii="Calibri" w:eastAsia="Calibri" w:hAnsi="Calibri" w:cs="Times New Roman"/>
          <w:sz w:val="24"/>
          <w:szCs w:val="24"/>
        </w:rPr>
        <w:t>s discretionary data points. Beginning on January 1, 2018, financial institutions will submit HMDA data collected in 2017 and beyond using the Bureau</w:t>
      </w:r>
      <w:r w:rsidR="00C45A3D">
        <w:rPr>
          <w:rFonts w:ascii="Calibri" w:eastAsia="Calibri" w:hAnsi="Calibri" w:cs="Times New Roman"/>
          <w:sz w:val="24"/>
          <w:szCs w:val="24"/>
        </w:rPr>
        <w:t>’</w:t>
      </w:r>
      <w:r w:rsidRPr="000C7C83">
        <w:rPr>
          <w:rFonts w:ascii="Calibri" w:eastAsia="Calibri" w:hAnsi="Calibri" w:cs="Times New Roman"/>
          <w:sz w:val="24"/>
          <w:szCs w:val="24"/>
        </w:rPr>
        <w:t>s new online platform. After considering the comments received on the June 2017 proposal, the FFIEC and the agencies are not proceeding with a proposed revision to the instructions for determining past due status.</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22"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1EC28BC5" wp14:editId="2878B51F">
                <wp:extent cx="9525" cy="9525"/>
                <wp:effectExtent l="0" t="0" r="0" b="0"/>
                <wp:docPr id="30"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709FB"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FozNKv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722C62" w:rsidRPr="00722C62">
        <w:rPr>
          <w:rFonts w:ascii="Arial" w:hAnsi="Arial" w:cs="Arial"/>
          <w:b/>
          <w:i/>
          <w:color w:val="002060"/>
          <w:sz w:val="20"/>
          <w:szCs w:val="20"/>
          <w:bdr w:val="none" w:sz="0" w:space="0" w:color="auto" w:frame="1"/>
          <w:shd w:val="clear" w:color="auto" w:fill="FFFFFF"/>
        </w:rPr>
        <w:t>The CFPB</w:t>
      </w:r>
      <w:r w:rsidR="00722C62" w:rsidRPr="00722C62">
        <w:rPr>
          <w:rFonts w:ascii="Calibri" w:eastAsia="Calibri" w:hAnsi="Calibri" w:cs="Times New Roman"/>
          <w:b/>
          <w:i/>
          <w:color w:val="002060"/>
          <w:sz w:val="24"/>
          <w:szCs w:val="24"/>
        </w:rPr>
        <w:t xml:space="preserve"> states that it</w:t>
      </w:r>
      <w:r w:rsidR="00722C62">
        <w:rPr>
          <w:rFonts w:ascii="Calibri" w:eastAsia="Calibri" w:hAnsi="Calibri" w:cs="Times New Roman"/>
          <w:b/>
          <w:i/>
          <w:color w:val="002060"/>
          <w:sz w:val="24"/>
          <w:szCs w:val="24"/>
        </w:rPr>
        <w:t xml:space="preserve"> </w:t>
      </w:r>
      <w:r w:rsidR="00722C62" w:rsidRPr="00722C62">
        <w:rPr>
          <w:rFonts w:ascii="Calibri" w:eastAsia="Calibri" w:hAnsi="Calibri" w:cs="Times New Roman"/>
          <w:b/>
          <w:i/>
          <w:color w:val="002060"/>
          <w:sz w:val="24"/>
          <w:szCs w:val="24"/>
        </w:rPr>
        <w:t xml:space="preserve">does not intend to require data resubmission unless data errors are material or assess penalties with respect to errors in data collected in 2018 and reported in 2019, and that </w:t>
      </w:r>
      <w:r w:rsidR="00722C62" w:rsidRPr="00722C62">
        <w:rPr>
          <w:rFonts w:ascii="Calibri" w:eastAsia="Calibri" w:hAnsi="Calibri" w:cs="Times New Roman"/>
          <w:b/>
          <w:i/>
          <w:color w:val="002060"/>
          <w:sz w:val="24"/>
          <w:szCs w:val="24"/>
        </w:rPr>
        <w:lastRenderedPageBreak/>
        <w:t xml:space="preserve">any examinations of 2018 HMDA data will be diagnostic to help institutions identify compliance weaknesses and will credit good-faith compliance efforts. </w:t>
      </w:r>
      <w:r w:rsidRPr="000C7C83">
        <w:rPr>
          <w:rFonts w:ascii="Calibri" w:eastAsia="Calibri" w:hAnsi="Calibri" w:cs="Times New Roman"/>
          <w:b/>
          <w:i/>
          <w:color w:val="002060"/>
          <w:sz w:val="24"/>
          <w:szCs w:val="24"/>
        </w:rPr>
        <w:t xml:space="preserve">The other prudential regulators issued similar pronouncements. For OCC Bulletin 2017-62 click </w:t>
      </w:r>
      <w:hyperlink r:id="rId23" w:history="1">
        <w:r w:rsidRPr="000C7C83">
          <w:rPr>
            <w:rFonts w:ascii="Calibri" w:eastAsia="Calibri" w:hAnsi="Calibri" w:cs="Times New Roman"/>
            <w:b/>
            <w:i/>
            <w:color w:val="002060"/>
            <w:sz w:val="24"/>
            <w:szCs w:val="24"/>
            <w:u w:val="single"/>
          </w:rPr>
          <w:t>here</w:t>
        </w:r>
      </w:hyperlink>
      <w:r w:rsidRPr="000C7C83">
        <w:rPr>
          <w:rFonts w:ascii="Calibri" w:eastAsia="Calibri" w:hAnsi="Calibri" w:cs="Times New Roman"/>
          <w:b/>
          <w:i/>
          <w:color w:val="002060"/>
          <w:sz w:val="24"/>
          <w:szCs w:val="24"/>
        </w:rPr>
        <w:t xml:space="preserve">; for FDIC FIL-63-2017 click </w:t>
      </w:r>
      <w:hyperlink r:id="rId24" w:history="1">
        <w:r w:rsidRPr="000C7C83">
          <w:rPr>
            <w:rFonts w:ascii="Calibri" w:eastAsia="Calibri" w:hAnsi="Calibri" w:cs="Times New Roman"/>
            <w:b/>
            <w:i/>
            <w:color w:val="002060"/>
            <w:sz w:val="24"/>
            <w:szCs w:val="24"/>
            <w:u w:val="single"/>
          </w:rPr>
          <w:t>here</w:t>
        </w:r>
      </w:hyperlink>
      <w:r w:rsidRPr="000C7C83">
        <w:rPr>
          <w:rFonts w:ascii="Calibri" w:eastAsia="Calibri" w:hAnsi="Calibri" w:cs="Times New Roman"/>
          <w:b/>
          <w:i/>
          <w:color w:val="002060"/>
          <w:sz w:val="24"/>
          <w:szCs w:val="24"/>
        </w:rPr>
        <w:t xml:space="preserve">. </w:t>
      </w:r>
    </w:p>
    <w:p w:rsidR="003312A1" w:rsidRPr="00436AD8" w:rsidRDefault="003312A1" w:rsidP="003312A1">
      <w:pPr>
        <w:pStyle w:val="CCTOCHeading"/>
        <w:rPr>
          <w:rFonts w:asciiTheme="minorHAnsi" w:hAnsiTheme="minorHAnsi" w:cstheme="minorHAnsi"/>
        </w:rPr>
      </w:pPr>
      <w:bookmarkStart w:id="18" w:name="_Toc504562608"/>
      <w:r w:rsidRPr="00436AD8">
        <w:rPr>
          <w:rFonts w:asciiTheme="minorHAnsi" w:hAnsiTheme="minorHAnsi" w:cstheme="minorHAnsi"/>
        </w:rPr>
        <w:t>FDIC actions</w:t>
      </w:r>
      <w:bookmarkEnd w:id="10"/>
      <w:bookmarkEnd w:id="18"/>
      <w:r w:rsidRPr="00436AD8">
        <w:rPr>
          <w:rFonts w:asciiTheme="minorHAnsi" w:hAnsiTheme="minorHAnsi" w:cstheme="minorHAnsi"/>
        </w:rPr>
        <w:t xml:space="preserve"> </w:t>
      </w: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FDIC</w:t>
      </w:r>
      <w:r w:rsidR="00C45A3D">
        <w:rPr>
          <w:rFonts w:ascii="Calibri" w:eastAsia="Calibri" w:hAnsi="Calibri" w:cs="Times New Roman"/>
          <w:b/>
          <w:bCs/>
          <w:i/>
          <w:color w:val="000000" w:themeColor="text1"/>
          <w:sz w:val="24"/>
          <w:szCs w:val="24"/>
        </w:rPr>
        <w:t>’</w:t>
      </w:r>
      <w:r w:rsidRPr="00C3017B">
        <w:rPr>
          <w:rFonts w:ascii="Calibri" w:eastAsia="Calibri" w:hAnsi="Calibri" w:cs="Times New Roman"/>
          <w:b/>
          <w:bCs/>
          <w:i/>
          <w:color w:val="000000" w:themeColor="text1"/>
          <w:sz w:val="24"/>
          <w:szCs w:val="24"/>
        </w:rPr>
        <w:t xml:space="preserve">s </w:t>
      </w:r>
      <w:r w:rsidRPr="00C3017B">
        <w:rPr>
          <w:rFonts w:ascii="Calibri" w:eastAsia="Calibri" w:hAnsi="Calibri" w:cs="Times New Roman"/>
          <w:b/>
          <w:bCs/>
          <w:i/>
          <w:iCs/>
          <w:color w:val="000000" w:themeColor="text1"/>
          <w:sz w:val="24"/>
          <w:szCs w:val="24"/>
        </w:rPr>
        <w:t>Supervisory Insights</w:t>
      </w:r>
      <w:r w:rsidRPr="00C3017B">
        <w:rPr>
          <w:rFonts w:ascii="Calibri" w:eastAsia="Calibri" w:hAnsi="Calibri" w:cs="Times New Roman"/>
          <w:b/>
          <w:bCs/>
          <w:i/>
          <w:color w:val="000000" w:themeColor="text1"/>
          <w:sz w:val="24"/>
          <w:szCs w:val="24"/>
        </w:rPr>
        <w:t> Winter Edition Focuses on Credit Management Information Systems (01.10.2018)</w:t>
      </w:r>
    </w:p>
    <w:p w:rsidR="000C7C83" w:rsidRPr="00C45A3D" w:rsidRDefault="000C7C83" w:rsidP="000C7C83">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The Federal Deposit Insurance Corporation (FDIC) today issued the Winter 2017 issue of </w:t>
      </w:r>
      <w:r w:rsidRPr="00C45A3D">
        <w:rPr>
          <w:rFonts w:ascii="Calibri" w:eastAsia="Calibri" w:hAnsi="Calibri" w:cs="Times New Roman"/>
          <w:bCs/>
          <w:i/>
          <w:iCs/>
          <w:sz w:val="24"/>
          <w:szCs w:val="24"/>
        </w:rPr>
        <w:t>Supervisory Insights</w:t>
      </w:r>
      <w:r w:rsidRPr="00C45A3D">
        <w:rPr>
          <w:rFonts w:ascii="Calibri" w:eastAsia="Calibri" w:hAnsi="Calibri" w:cs="Times New Roman"/>
          <w:bCs/>
          <w:sz w:val="24"/>
          <w:szCs w:val="24"/>
        </w:rPr>
        <w:t>, which includes articles on credit Management Information Systems (MIS) and recent results from the </w:t>
      </w:r>
      <w:r w:rsidRPr="00C45A3D">
        <w:rPr>
          <w:rFonts w:ascii="Calibri" w:eastAsia="Calibri" w:hAnsi="Calibri" w:cs="Times New Roman"/>
          <w:bCs/>
          <w:i/>
          <w:iCs/>
          <w:sz w:val="24"/>
          <w:szCs w:val="24"/>
        </w:rPr>
        <w:t>FDIC</w:t>
      </w:r>
      <w:r w:rsidR="00C45A3D" w:rsidRPr="00C45A3D">
        <w:rPr>
          <w:rFonts w:ascii="Calibri" w:eastAsia="Calibri" w:hAnsi="Calibri" w:cs="Times New Roman"/>
          <w:bCs/>
          <w:i/>
          <w:iCs/>
          <w:sz w:val="24"/>
          <w:szCs w:val="24"/>
        </w:rPr>
        <w:t>’</w:t>
      </w:r>
      <w:r w:rsidRPr="00C45A3D">
        <w:rPr>
          <w:rFonts w:ascii="Calibri" w:eastAsia="Calibri" w:hAnsi="Calibri" w:cs="Times New Roman"/>
          <w:bCs/>
          <w:i/>
          <w:iCs/>
          <w:sz w:val="24"/>
          <w:szCs w:val="24"/>
        </w:rPr>
        <w:t>s Credit and Consumer Products/Services Survey.</w:t>
      </w:r>
    </w:p>
    <w:p w:rsidR="000C7C83" w:rsidRPr="00C45A3D" w:rsidRDefault="00C45A3D" w:rsidP="000C7C83">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A key component of a bank</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s risk management program is a strong credit MIS, which uses loan data to develop timely and meaningful reporting for a bank</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s board and senior management,</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 said Doreen R. Eberley, director of the FDIC</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s Division of Risk Management Supervision. </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This article illustrates how banks can strengthen credit MIS by incorporating forward-looking risk indicators and establishing a sound governance framework.</w:t>
      </w:r>
      <w:r w:rsidRPr="00C45A3D">
        <w:rPr>
          <w:rFonts w:ascii="Calibri" w:eastAsia="Calibri" w:hAnsi="Calibri" w:cs="Times New Roman"/>
          <w:bCs/>
          <w:sz w:val="24"/>
          <w:szCs w:val="24"/>
        </w:rPr>
        <w:t>”</w:t>
      </w:r>
    </w:p>
    <w:p w:rsidR="000C7C83" w:rsidRPr="00C45A3D" w:rsidRDefault="00C45A3D" w:rsidP="000C7C83">
      <w:pPr>
        <w:spacing w:before="120" w:after="120"/>
        <w:rPr>
          <w:rFonts w:ascii="Calibri" w:eastAsia="Calibri" w:hAnsi="Calibri" w:cs="Times New Roman"/>
          <w:bCs/>
          <w:sz w:val="24"/>
          <w:szCs w:val="24"/>
        </w:rPr>
      </w:pP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Underwriting Trends and Other Highlights</w:t>
      </w:r>
      <w:r w:rsidRPr="00C45A3D">
        <w:rPr>
          <w:rFonts w:ascii="Calibri" w:eastAsia="Calibri" w:hAnsi="Calibri" w:cs="Times New Roman"/>
          <w:bCs/>
          <w:sz w:val="24"/>
          <w:szCs w:val="24"/>
        </w:rPr>
        <w:t>”</w:t>
      </w:r>
      <w:r w:rsidR="000C7C83" w:rsidRPr="00C45A3D">
        <w:rPr>
          <w:rFonts w:ascii="Calibri" w:eastAsia="Calibri" w:hAnsi="Calibri" w:cs="Times New Roman"/>
          <w:bCs/>
          <w:sz w:val="24"/>
          <w:szCs w:val="24"/>
        </w:rPr>
        <w:t xml:space="preserve"> from the </w:t>
      </w:r>
      <w:r w:rsidR="000C7C83" w:rsidRPr="00C45A3D">
        <w:rPr>
          <w:rFonts w:ascii="Calibri" w:eastAsia="Calibri" w:hAnsi="Calibri" w:cs="Times New Roman"/>
          <w:bCs/>
          <w:i/>
          <w:iCs/>
          <w:sz w:val="24"/>
          <w:szCs w:val="24"/>
        </w:rPr>
        <w:t>FDIC</w:t>
      </w:r>
      <w:r w:rsidRPr="00C45A3D">
        <w:rPr>
          <w:rFonts w:ascii="Calibri" w:eastAsia="Calibri" w:hAnsi="Calibri" w:cs="Times New Roman"/>
          <w:bCs/>
          <w:i/>
          <w:iCs/>
          <w:sz w:val="24"/>
          <w:szCs w:val="24"/>
        </w:rPr>
        <w:t>’</w:t>
      </w:r>
      <w:r w:rsidR="000C7C83" w:rsidRPr="00C45A3D">
        <w:rPr>
          <w:rFonts w:ascii="Calibri" w:eastAsia="Calibri" w:hAnsi="Calibri" w:cs="Times New Roman"/>
          <w:bCs/>
          <w:i/>
          <w:iCs/>
          <w:sz w:val="24"/>
          <w:szCs w:val="24"/>
        </w:rPr>
        <w:t>s Credit and Consumer Products/Services Survey</w:t>
      </w:r>
      <w:r w:rsidR="000C7C83" w:rsidRPr="00C45A3D">
        <w:rPr>
          <w:rFonts w:ascii="Calibri" w:eastAsia="Calibri" w:hAnsi="Calibri" w:cs="Times New Roman"/>
          <w:bCs/>
          <w:sz w:val="24"/>
          <w:szCs w:val="24"/>
        </w:rPr>
        <w:t> shares recent credit survey results with a focus on lending activity -- including trends in underwriting, loan growth, and funding. The results suggest that credit risk and liquidity risk are increasing, as reflected in a higher frequency of surveys that report risks associated with loan growth, out-of-territory lending, and credit and funding concentrations.</w:t>
      </w:r>
    </w:p>
    <w:p w:rsidR="000C7C83" w:rsidRPr="00C45A3D" w:rsidRDefault="000C7C83" w:rsidP="000C7C83">
      <w:pPr>
        <w:spacing w:before="120" w:after="120"/>
        <w:rPr>
          <w:rFonts w:ascii="Calibri" w:eastAsia="Calibri" w:hAnsi="Calibri" w:cs="Times New Roman"/>
          <w:bCs/>
          <w:sz w:val="24"/>
          <w:szCs w:val="24"/>
        </w:rPr>
      </w:pPr>
      <w:r w:rsidRPr="00C45A3D">
        <w:rPr>
          <w:rFonts w:ascii="Calibri" w:eastAsia="Calibri" w:hAnsi="Calibri" w:cs="Times New Roman"/>
          <w:bCs/>
          <w:i/>
          <w:iCs/>
          <w:sz w:val="24"/>
          <w:szCs w:val="24"/>
        </w:rPr>
        <w:t>Supervisory Insights</w:t>
      </w:r>
      <w:r w:rsidRPr="00C45A3D">
        <w:rPr>
          <w:rFonts w:ascii="Calibri" w:eastAsia="Calibri" w:hAnsi="Calibri" w:cs="Times New Roman"/>
          <w:bCs/>
          <w:sz w:val="24"/>
          <w:szCs w:val="24"/>
        </w:rPr>
        <w:t xml:space="preserve"> also includes a </w:t>
      </w:r>
      <w:r w:rsidR="00C45A3D" w:rsidRPr="00C45A3D">
        <w:rPr>
          <w:rFonts w:ascii="Calibri" w:eastAsia="Calibri" w:hAnsi="Calibri" w:cs="Times New Roman"/>
          <w:bCs/>
          <w:sz w:val="24"/>
          <w:szCs w:val="24"/>
        </w:rPr>
        <w:t>“</w:t>
      </w:r>
      <w:r w:rsidRPr="00C45A3D">
        <w:rPr>
          <w:rFonts w:ascii="Calibri" w:eastAsia="Calibri" w:hAnsi="Calibri" w:cs="Times New Roman"/>
          <w:bCs/>
          <w:sz w:val="24"/>
          <w:szCs w:val="24"/>
        </w:rPr>
        <w:t>Regulatory and Supervisory Roundup</w:t>
      </w:r>
      <w:r w:rsidR="00C45A3D" w:rsidRPr="00C45A3D">
        <w:rPr>
          <w:rFonts w:ascii="Calibri" w:eastAsia="Calibri" w:hAnsi="Calibri" w:cs="Times New Roman"/>
          <w:bCs/>
          <w:sz w:val="24"/>
          <w:szCs w:val="24"/>
        </w:rPr>
        <w:t>”</w:t>
      </w:r>
      <w:r w:rsidRPr="00C45A3D">
        <w:rPr>
          <w:rFonts w:ascii="Calibri" w:eastAsia="Calibri" w:hAnsi="Calibri" w:cs="Times New Roman"/>
          <w:bCs/>
          <w:sz w:val="24"/>
          <w:szCs w:val="24"/>
        </w:rPr>
        <w:t xml:space="preserve"> section, which provides an overview of recently released regulations and supervisory guidance.</w:t>
      </w:r>
    </w:p>
    <w:p w:rsidR="000C7C83" w:rsidRPr="000C7C83" w:rsidRDefault="000C7C83" w:rsidP="000C7C83">
      <w:pPr>
        <w:spacing w:before="120" w:after="120"/>
        <w:rPr>
          <w:rFonts w:ascii="Calibri" w:eastAsia="Calibri" w:hAnsi="Calibri" w:cs="Times New Roman"/>
          <w:bCs/>
          <w:color w:val="595959"/>
          <w:sz w:val="24"/>
          <w:szCs w:val="24"/>
        </w:rPr>
      </w:pPr>
      <w:r w:rsidRPr="00C45A3D">
        <w:rPr>
          <w:rFonts w:ascii="Calibri" w:eastAsia="Calibri" w:hAnsi="Calibri" w:cs="Times New Roman"/>
          <w:bCs/>
          <w:i/>
          <w:iCs/>
          <w:sz w:val="24"/>
          <w:szCs w:val="24"/>
        </w:rPr>
        <w:t>Supervisory Insights</w:t>
      </w:r>
      <w:r w:rsidR="00722C62" w:rsidRPr="00C45A3D">
        <w:rPr>
          <w:rFonts w:ascii="Calibri" w:eastAsia="Calibri" w:hAnsi="Calibri" w:cs="Times New Roman"/>
          <w:bCs/>
          <w:sz w:val="24"/>
          <w:szCs w:val="24"/>
        </w:rPr>
        <w:t xml:space="preserve"> </w:t>
      </w:r>
      <w:r w:rsidRPr="00C45A3D">
        <w:rPr>
          <w:rFonts w:ascii="Calibri" w:eastAsia="Calibri" w:hAnsi="Calibri" w:cs="Times New Roman"/>
          <w:bCs/>
          <w:sz w:val="24"/>
          <w:szCs w:val="24"/>
        </w:rPr>
        <w:t>provides a forum for discussing how bank regulation and policy are put into practice in the field, promoting sound principles and practices for bank supervision, and communicating about the emerging issues that bank supervisors face. The journal is available on the FDIC</w:t>
      </w:r>
      <w:r w:rsidR="00C45A3D" w:rsidRPr="00C45A3D">
        <w:rPr>
          <w:rFonts w:ascii="Calibri" w:eastAsia="Calibri" w:hAnsi="Calibri" w:cs="Times New Roman"/>
          <w:bCs/>
          <w:sz w:val="24"/>
          <w:szCs w:val="24"/>
        </w:rPr>
        <w:t>’</w:t>
      </w:r>
      <w:r w:rsidRPr="00C45A3D">
        <w:rPr>
          <w:rFonts w:ascii="Calibri" w:eastAsia="Calibri" w:hAnsi="Calibri" w:cs="Times New Roman"/>
          <w:bCs/>
          <w:sz w:val="24"/>
          <w:szCs w:val="24"/>
        </w:rPr>
        <w:t xml:space="preserve">s website </w:t>
      </w:r>
      <w:hyperlink r:id="rId25" w:history="1">
        <w:r w:rsidRPr="000C7C83">
          <w:rPr>
            <w:rFonts w:ascii="Calibri" w:eastAsia="Calibri" w:hAnsi="Calibri" w:cs="Times New Roman"/>
            <w:bCs/>
            <w:color w:val="0563C1"/>
            <w:sz w:val="24"/>
            <w:szCs w:val="24"/>
            <w:u w:val="single"/>
          </w:rPr>
          <w:t>here</w:t>
        </w:r>
      </w:hyperlink>
      <w:r w:rsidRPr="00C45A3D">
        <w:rPr>
          <w:rFonts w:ascii="Calibri" w:eastAsia="Calibri" w:hAnsi="Calibri" w:cs="Times New Roman"/>
          <w:bCs/>
          <w:sz w:val="24"/>
          <w:szCs w:val="24"/>
        </w:rPr>
        <w:t>. For future topics and requests for permission to reprint articles should be emailed to</w:t>
      </w:r>
      <w:r w:rsidR="00C45A3D">
        <w:t xml:space="preserve"> </w:t>
      </w:r>
      <w:hyperlink r:id="rId26" w:history="1">
        <w:r w:rsidRPr="000C7C83">
          <w:rPr>
            <w:rFonts w:ascii="Calibri" w:eastAsia="Calibri" w:hAnsi="Calibri" w:cs="Times New Roman"/>
            <w:bCs/>
            <w:color w:val="0563C1"/>
            <w:sz w:val="24"/>
            <w:szCs w:val="24"/>
            <w:u w:val="single"/>
          </w:rPr>
          <w:t>supervisoryjournal@fdic.gov</w:t>
        </w:r>
      </w:hyperlink>
      <w:r w:rsidRPr="00C45A3D">
        <w:rPr>
          <w:rFonts w:ascii="Calibri" w:eastAsia="Calibri" w:hAnsi="Calibri" w:cs="Times New Roman"/>
          <w:bCs/>
          <w:sz w:val="24"/>
          <w:szCs w:val="24"/>
        </w:rPr>
        <w:t>. Requests for print copies should be emailed to</w:t>
      </w:r>
      <w:r w:rsidR="00C45A3D">
        <w:t xml:space="preserve"> </w:t>
      </w:r>
      <w:hyperlink r:id="rId27" w:history="1">
        <w:r w:rsidRPr="000C7C83">
          <w:rPr>
            <w:rFonts w:ascii="Calibri" w:eastAsia="Calibri" w:hAnsi="Calibri" w:cs="Times New Roman"/>
            <w:bCs/>
            <w:color w:val="0563C1"/>
            <w:sz w:val="24"/>
            <w:szCs w:val="24"/>
            <w:u w:val="single"/>
          </w:rPr>
          <w:t>publicinfo@fdic.gov</w:t>
        </w:r>
      </w:hyperlink>
      <w:r w:rsidR="00D01198">
        <w:rPr>
          <w:rFonts w:ascii="Calibri" w:eastAsia="Calibri" w:hAnsi="Calibri" w:cs="Times New Roman"/>
          <w:bCs/>
          <w:color w:val="595959"/>
          <w:sz w:val="24"/>
          <w:szCs w:val="24"/>
        </w:rPr>
        <w:t>.</w:t>
      </w:r>
    </w:p>
    <w:p w:rsidR="000C7C83" w:rsidRPr="000C7C83" w:rsidRDefault="000C7C83" w:rsidP="000C7C83">
      <w:pPr>
        <w:spacing w:before="120" w:after="120"/>
        <w:rPr>
          <w:rFonts w:ascii="Calibri" w:eastAsia="Calibri" w:hAnsi="Calibri" w:cs="Times New Roman"/>
          <w:b/>
          <w:bCs/>
          <w:i/>
          <w:color w:val="002060"/>
          <w:sz w:val="24"/>
          <w:szCs w:val="24"/>
        </w:rPr>
      </w:pPr>
      <w:r w:rsidRPr="000C7C83">
        <w:rPr>
          <w:rFonts w:ascii="Calibri" w:eastAsia="Calibri" w:hAnsi="Calibri" w:cs="Times New Roman"/>
          <w:b/>
          <w:bCs/>
          <w:i/>
          <w:color w:val="002060"/>
          <w:sz w:val="24"/>
          <w:szCs w:val="24"/>
        </w:rPr>
        <w:t xml:space="preserve">Comment: </w:t>
      </w:r>
      <w:r w:rsidR="00722C62">
        <w:rPr>
          <w:rFonts w:ascii="Calibri" w:eastAsia="Calibri" w:hAnsi="Calibri" w:cs="Times New Roman"/>
          <w:b/>
          <w:bCs/>
          <w:i/>
          <w:color w:val="002060"/>
          <w:sz w:val="24"/>
          <w:szCs w:val="24"/>
        </w:rPr>
        <w:t xml:space="preserve">The </w:t>
      </w:r>
      <w:r w:rsidR="00722C62" w:rsidRPr="00722C62">
        <w:rPr>
          <w:rFonts w:ascii="Calibri" w:eastAsia="Calibri" w:hAnsi="Calibri" w:cs="Times New Roman"/>
          <w:b/>
          <w:bCs/>
          <w:i/>
          <w:color w:val="002060"/>
          <w:sz w:val="24"/>
          <w:szCs w:val="24"/>
        </w:rPr>
        <w:t xml:space="preserve">FDIC emphasized the importance of a strong MIS in maintaining an effective risk management program. </w:t>
      </w:r>
      <w:r w:rsidR="00722C62">
        <w:rPr>
          <w:rFonts w:ascii="Calibri" w:eastAsia="Calibri" w:hAnsi="Calibri" w:cs="Times New Roman"/>
          <w:b/>
          <w:bCs/>
          <w:i/>
          <w:color w:val="002060"/>
          <w:sz w:val="24"/>
          <w:szCs w:val="24"/>
        </w:rPr>
        <w:t xml:space="preserve">Many banks, the FDIC concluded, </w:t>
      </w:r>
      <w:r w:rsidR="00722C62" w:rsidRPr="00722C62">
        <w:rPr>
          <w:rFonts w:ascii="Calibri" w:eastAsia="Calibri" w:hAnsi="Calibri" w:cs="Times New Roman"/>
          <w:b/>
          <w:bCs/>
          <w:i/>
          <w:color w:val="002060"/>
          <w:sz w:val="24"/>
          <w:szCs w:val="24"/>
        </w:rPr>
        <w:t xml:space="preserve">did not have adequate coverage of </w:t>
      </w:r>
      <w:r w:rsidR="00C45A3D">
        <w:rPr>
          <w:rFonts w:ascii="Calibri" w:eastAsia="Calibri" w:hAnsi="Calibri" w:cs="Times New Roman"/>
          <w:b/>
          <w:bCs/>
          <w:i/>
          <w:color w:val="002060"/>
          <w:sz w:val="24"/>
          <w:szCs w:val="24"/>
        </w:rPr>
        <w:t>‘</w:t>
      </w:r>
      <w:r w:rsidR="00722C62" w:rsidRPr="00722C62">
        <w:rPr>
          <w:rFonts w:ascii="Calibri" w:eastAsia="Calibri" w:hAnsi="Calibri" w:cs="Times New Roman"/>
          <w:b/>
          <w:bCs/>
          <w:i/>
          <w:color w:val="002060"/>
          <w:sz w:val="24"/>
          <w:szCs w:val="24"/>
        </w:rPr>
        <w:t>forward-looking indicators</w:t>
      </w:r>
      <w:r w:rsidR="00C45A3D">
        <w:rPr>
          <w:rFonts w:ascii="Calibri" w:eastAsia="Calibri" w:hAnsi="Calibri" w:cs="Times New Roman"/>
          <w:b/>
          <w:bCs/>
          <w:i/>
          <w:color w:val="002060"/>
          <w:sz w:val="24"/>
          <w:szCs w:val="24"/>
        </w:rPr>
        <w:t>’</w:t>
      </w:r>
      <w:r w:rsidR="00722C62" w:rsidRPr="00722C62">
        <w:rPr>
          <w:rFonts w:ascii="Calibri" w:eastAsia="Calibri" w:hAnsi="Calibri" w:cs="Times New Roman"/>
          <w:b/>
          <w:bCs/>
          <w:i/>
          <w:color w:val="002060"/>
          <w:sz w:val="24"/>
          <w:szCs w:val="24"/>
        </w:rPr>
        <w:t xml:space="preserve"> which function to signal future performance and can help to identify and mitigate risk exposure. </w:t>
      </w:r>
      <w:r w:rsidR="00141797" w:rsidRPr="00141797">
        <w:rPr>
          <w:rFonts w:ascii="Calibri" w:eastAsia="Calibri" w:hAnsi="Calibri" w:cs="Times New Roman"/>
          <w:b/>
          <w:bCs/>
          <w:i/>
          <w:color w:val="002060"/>
          <w:sz w:val="24"/>
          <w:szCs w:val="24"/>
        </w:rPr>
        <w:t xml:space="preserve">Supervisory Insights is </w:t>
      </w:r>
      <w:r w:rsidR="00C45A3D">
        <w:rPr>
          <w:rFonts w:ascii="Calibri" w:eastAsia="Calibri" w:hAnsi="Calibri" w:cs="Times New Roman"/>
          <w:b/>
          <w:bCs/>
          <w:i/>
          <w:color w:val="002060"/>
          <w:sz w:val="24"/>
          <w:szCs w:val="24"/>
        </w:rPr>
        <w:t>“</w:t>
      </w:r>
      <w:r w:rsidR="00141797" w:rsidRPr="00141797">
        <w:rPr>
          <w:rFonts w:ascii="Calibri" w:eastAsia="Calibri" w:hAnsi="Calibri" w:cs="Times New Roman"/>
          <w:b/>
          <w:bCs/>
          <w:i/>
          <w:color w:val="002060"/>
          <w:sz w:val="24"/>
          <w:szCs w:val="24"/>
        </w:rPr>
        <w:t>must</w:t>
      </w:r>
      <w:r w:rsidR="00C45A3D">
        <w:rPr>
          <w:rFonts w:ascii="Calibri" w:eastAsia="Calibri" w:hAnsi="Calibri" w:cs="Times New Roman"/>
          <w:b/>
          <w:bCs/>
          <w:i/>
          <w:color w:val="002060"/>
          <w:sz w:val="24"/>
          <w:szCs w:val="24"/>
        </w:rPr>
        <w:t>”</w:t>
      </w:r>
      <w:r w:rsidR="00141797" w:rsidRPr="00141797">
        <w:rPr>
          <w:rFonts w:ascii="Calibri" w:eastAsia="Calibri" w:hAnsi="Calibri" w:cs="Times New Roman"/>
          <w:b/>
          <w:bCs/>
          <w:i/>
          <w:color w:val="002060"/>
          <w:sz w:val="24"/>
          <w:szCs w:val="24"/>
        </w:rPr>
        <w:t xml:space="preserve"> reading for FDIC regulated banks.  It provides important insights into current concerns and possible exam focus.</w:t>
      </w:r>
    </w:p>
    <w:p w:rsidR="000C7C83" w:rsidRPr="000C7C83" w:rsidRDefault="000C7C83" w:rsidP="000C7C83">
      <w:pPr>
        <w:spacing w:before="120" w:after="120"/>
        <w:rPr>
          <w:rFonts w:ascii="Calibri" w:eastAsia="Calibri" w:hAnsi="Calibri" w:cs="Times New Roman"/>
          <w:bCs/>
          <w:color w:val="002060"/>
          <w:sz w:val="24"/>
          <w:szCs w:val="24"/>
        </w:rPr>
      </w:pPr>
    </w:p>
    <w:p w:rsidR="000C7C83" w:rsidRPr="00C3017B" w:rsidRDefault="000C7C83" w:rsidP="000C7C83">
      <w:pPr>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FDIC Releases History of Agency</w:t>
      </w:r>
      <w:r w:rsidR="00C45A3D">
        <w:rPr>
          <w:rFonts w:ascii="Calibri" w:eastAsia="Calibri" w:hAnsi="Calibri" w:cs="Times New Roman"/>
          <w:b/>
          <w:bCs/>
          <w:i/>
          <w:color w:val="000000" w:themeColor="text1"/>
          <w:sz w:val="24"/>
          <w:szCs w:val="24"/>
        </w:rPr>
        <w:t>’</w:t>
      </w:r>
      <w:r w:rsidRPr="00C3017B">
        <w:rPr>
          <w:rFonts w:ascii="Calibri" w:eastAsia="Calibri" w:hAnsi="Calibri" w:cs="Times New Roman"/>
          <w:b/>
          <w:bCs/>
          <w:i/>
          <w:color w:val="000000" w:themeColor="text1"/>
          <w:sz w:val="24"/>
          <w:szCs w:val="24"/>
        </w:rPr>
        <w:t>s Response to the Financial Crisis (12.18.2017)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Federal Deposit Insurance Corporation (FDIC) on Monday released a history of the financial crisis focusing on the agency</w:t>
      </w:r>
      <w:r w:rsidR="00C45A3D">
        <w:rPr>
          <w:rFonts w:ascii="Calibri" w:eastAsia="Calibri" w:hAnsi="Calibri" w:cs="Times New Roman"/>
          <w:sz w:val="24"/>
          <w:szCs w:val="24"/>
        </w:rPr>
        <w:t>’</w:t>
      </w:r>
      <w:r w:rsidRPr="000C7C83">
        <w:rPr>
          <w:rFonts w:ascii="Calibri" w:eastAsia="Calibri" w:hAnsi="Calibri" w:cs="Times New Roman"/>
          <w:sz w:val="24"/>
          <w:szCs w:val="24"/>
        </w:rPr>
        <w:t>s response and lessons learned from its experience.</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i/>
          <w:iCs/>
          <w:sz w:val="24"/>
          <w:szCs w:val="24"/>
        </w:rPr>
        <w:t>Crisis and Response: An FDIC History, 2008–2013</w:t>
      </w:r>
      <w:r w:rsidRPr="000C7C83">
        <w:rPr>
          <w:rFonts w:ascii="Calibri" w:eastAsia="Calibri" w:hAnsi="Calibri" w:cs="Times New Roman"/>
          <w:sz w:val="24"/>
          <w:szCs w:val="24"/>
        </w:rPr>
        <w:t xml:space="preserve"> reviews the experience of the FDIC during a period in which the agency was confronted with two interconnected and overlapping crises—first, the financial crisis in 2008 and 2009, and second, a banking crisis that began in 2008 and continued until 2013. The history examines the FDIC</w:t>
      </w:r>
      <w:r w:rsidR="00C45A3D">
        <w:rPr>
          <w:rFonts w:ascii="Calibri" w:eastAsia="Calibri" w:hAnsi="Calibri" w:cs="Times New Roman"/>
          <w:sz w:val="24"/>
          <w:szCs w:val="24"/>
        </w:rPr>
        <w:t>’</w:t>
      </w:r>
      <w:r w:rsidRPr="000C7C83">
        <w:rPr>
          <w:rFonts w:ascii="Calibri" w:eastAsia="Calibri" w:hAnsi="Calibri" w:cs="Times New Roman"/>
          <w:sz w:val="24"/>
          <w:szCs w:val="24"/>
        </w:rPr>
        <w:t>s response, contributes to an understanding of what occurred, and shares lessons from the agency</w:t>
      </w:r>
      <w:r w:rsidR="00C45A3D">
        <w:rPr>
          <w:rFonts w:ascii="Calibri" w:eastAsia="Calibri" w:hAnsi="Calibri" w:cs="Times New Roman"/>
          <w:sz w:val="24"/>
          <w:szCs w:val="24"/>
        </w:rPr>
        <w:t>’</w:t>
      </w:r>
      <w:r w:rsidRPr="000C7C83">
        <w:rPr>
          <w:rFonts w:ascii="Calibri" w:eastAsia="Calibri" w:hAnsi="Calibri" w:cs="Times New Roman"/>
          <w:sz w:val="24"/>
          <w:szCs w:val="24"/>
        </w:rPr>
        <w:t>s experience.</w:t>
      </w:r>
    </w:p>
    <w:p w:rsidR="000C7C83" w:rsidRPr="000C7C83" w:rsidRDefault="00C45A3D" w:rsidP="000C7C83">
      <w:pPr>
        <w:spacing w:before="120" w:after="120"/>
        <w:rPr>
          <w:rFonts w:ascii="Calibri" w:eastAsia="Calibri" w:hAnsi="Calibri" w:cs="Times New Roman"/>
          <w:sz w:val="24"/>
          <w:szCs w:val="24"/>
        </w:rPr>
      </w:pPr>
      <w:r>
        <w:rPr>
          <w:rFonts w:ascii="Calibri" w:eastAsia="Calibri" w:hAnsi="Calibri" w:cs="Times New Roman"/>
          <w:sz w:val="24"/>
          <w:szCs w:val="24"/>
        </w:rPr>
        <w:lastRenderedPageBreak/>
        <w:t>“</w:t>
      </w:r>
      <w:r w:rsidR="000C7C83" w:rsidRPr="000C7C83">
        <w:rPr>
          <w:rFonts w:ascii="Calibri" w:eastAsia="Calibri" w:hAnsi="Calibri" w:cs="Times New Roman"/>
          <w:sz w:val="24"/>
          <w:szCs w:val="24"/>
        </w:rPr>
        <w:t>This work is a valuable account of this extraordinary period in U.S. financial history and of the critical contributions made by the FDIC,</w:t>
      </w:r>
      <w:r>
        <w:rPr>
          <w:rFonts w:ascii="Calibri" w:eastAsia="Calibri" w:hAnsi="Calibri" w:cs="Times New Roman"/>
          <w:sz w:val="24"/>
          <w:szCs w:val="24"/>
        </w:rPr>
        <w:t>”</w:t>
      </w:r>
      <w:r w:rsidR="000C7C83" w:rsidRPr="000C7C83">
        <w:rPr>
          <w:rFonts w:ascii="Calibri" w:eastAsia="Calibri" w:hAnsi="Calibri" w:cs="Times New Roman"/>
          <w:sz w:val="24"/>
          <w:szCs w:val="24"/>
        </w:rPr>
        <w:t xml:space="preserve"> Chairman Martin J. Gruenberg said. </w:t>
      </w:r>
      <w:r>
        <w:rPr>
          <w:rFonts w:ascii="Calibri" w:eastAsia="Calibri" w:hAnsi="Calibri" w:cs="Times New Roman"/>
          <w:sz w:val="24"/>
          <w:szCs w:val="24"/>
        </w:rPr>
        <w:t>“</w:t>
      </w:r>
      <w:r w:rsidR="000C7C83" w:rsidRPr="000C7C83">
        <w:rPr>
          <w:rFonts w:ascii="Calibri" w:eastAsia="Calibri" w:hAnsi="Calibri" w:cs="Times New Roman"/>
          <w:sz w:val="24"/>
          <w:szCs w:val="24"/>
        </w:rPr>
        <w:t>It will serve as a guidepost for future policymakers who will someday be called upon to respond to the next period of financial instability.</w:t>
      </w:r>
      <w:r>
        <w:rPr>
          <w:rFonts w:ascii="Calibri" w:eastAsia="Calibri" w:hAnsi="Calibri" w:cs="Times New Roman"/>
          <w:sz w:val="24"/>
          <w:szCs w:val="24"/>
        </w:rPr>
        <w:t>”</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history is organized into two parts. The first, chapters 1 through 3, is an account of the origins of the crisis and the FDIC</w:t>
      </w:r>
      <w:r w:rsidR="00C45A3D">
        <w:rPr>
          <w:rFonts w:ascii="Calibri" w:eastAsia="Calibri" w:hAnsi="Calibri" w:cs="Times New Roman"/>
          <w:sz w:val="24"/>
          <w:szCs w:val="24"/>
        </w:rPr>
        <w:t>’</w:t>
      </w:r>
      <w:r w:rsidRPr="000C7C83">
        <w:rPr>
          <w:rFonts w:ascii="Calibri" w:eastAsia="Calibri" w:hAnsi="Calibri" w:cs="Times New Roman"/>
          <w:sz w:val="24"/>
          <w:szCs w:val="24"/>
        </w:rPr>
        <w:t>s unprecedented use of emergency authorities to respond to financial market illiquidity and the problems of systemically important financial institutions. The second, chapters 4 through 6, documents the FDIC</w:t>
      </w:r>
      <w:r w:rsidR="00C45A3D">
        <w:rPr>
          <w:rFonts w:ascii="Calibri" w:eastAsia="Calibri" w:hAnsi="Calibri" w:cs="Times New Roman"/>
          <w:sz w:val="24"/>
          <w:szCs w:val="24"/>
        </w:rPr>
        <w:t>’</w:t>
      </w:r>
      <w:r w:rsidRPr="000C7C83">
        <w:rPr>
          <w:rFonts w:ascii="Calibri" w:eastAsia="Calibri" w:hAnsi="Calibri" w:cs="Times New Roman"/>
          <w:sz w:val="24"/>
          <w:szCs w:val="24"/>
        </w:rPr>
        <w:t>s responses to the challenges the agency faced in carrying out its core missions of bank supervision, deposit insurance, and failed-bank resolution.</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i/>
          <w:iCs/>
          <w:sz w:val="24"/>
          <w:szCs w:val="24"/>
        </w:rPr>
        <w:t>Crisis and Response</w:t>
      </w:r>
      <w:r w:rsidRPr="000C7C83">
        <w:rPr>
          <w:rFonts w:ascii="Calibri" w:eastAsia="Calibri" w:hAnsi="Calibri" w:cs="Times New Roman"/>
          <w:sz w:val="24"/>
          <w:szCs w:val="24"/>
        </w:rPr>
        <w:t xml:space="preserve"> is available on the FDIC</w:t>
      </w:r>
      <w:r w:rsidR="00C45A3D">
        <w:rPr>
          <w:rFonts w:ascii="Calibri" w:eastAsia="Calibri" w:hAnsi="Calibri" w:cs="Times New Roman"/>
          <w:sz w:val="24"/>
          <w:szCs w:val="24"/>
        </w:rPr>
        <w:t>’</w:t>
      </w:r>
      <w:r w:rsidRPr="000C7C83">
        <w:rPr>
          <w:rFonts w:ascii="Calibri" w:eastAsia="Calibri" w:hAnsi="Calibri" w:cs="Times New Roman"/>
          <w:sz w:val="24"/>
          <w:szCs w:val="24"/>
        </w:rPr>
        <w:t xml:space="preserve">s website, </w:t>
      </w:r>
      <w:hyperlink r:id="rId28" w:history="1">
        <w:r w:rsidRPr="000C7C83">
          <w:rPr>
            <w:rFonts w:ascii="Calibri" w:eastAsia="Calibri" w:hAnsi="Calibri" w:cs="Times New Roman"/>
            <w:color w:val="0563C1"/>
            <w:sz w:val="24"/>
            <w:szCs w:val="24"/>
            <w:u w:val="single"/>
          </w:rPr>
          <w:t>https://www.fdic.gov/bank/historical/crisis/index.html</w:t>
        </w:r>
      </w:hyperlink>
      <w:r w:rsidRPr="000C7C83">
        <w:rPr>
          <w:rFonts w:ascii="Calibri" w:eastAsia="Calibri" w:hAnsi="Calibri" w:cs="Times New Roman"/>
          <w:sz w:val="24"/>
          <w:szCs w:val="24"/>
        </w:rPr>
        <w:t>. The FDIC conducted similar reviews after the banking and thrift crisi</w:t>
      </w:r>
      <w:r w:rsidR="00D01198">
        <w:rPr>
          <w:rFonts w:ascii="Calibri" w:eastAsia="Calibri" w:hAnsi="Calibri" w:cs="Times New Roman"/>
          <w:sz w:val="24"/>
          <w:szCs w:val="24"/>
        </w:rPr>
        <w:t>s of the 1980s and early 1990s.</w:t>
      </w:r>
    </w:p>
    <w:p w:rsidR="003312A1" w:rsidRPr="00B017FE" w:rsidRDefault="000C7C83" w:rsidP="00B017FE">
      <w:pPr>
        <w:spacing w:before="120" w:after="120"/>
        <w:rPr>
          <w:rFonts w:ascii="Calibri" w:eastAsia="Calibri" w:hAnsi="Calibri" w:cs="Times New Roman"/>
          <w:b/>
          <w:color w:val="002060"/>
          <w:sz w:val="24"/>
          <w:szCs w:val="24"/>
        </w:rPr>
      </w:pPr>
      <w:r w:rsidRPr="000C7C83">
        <w:rPr>
          <w:rFonts w:ascii="Calibri" w:eastAsia="Calibri" w:hAnsi="Calibri" w:cs="Times New Roman"/>
          <w:b/>
          <w:i/>
          <w:color w:val="002060"/>
          <w:sz w:val="24"/>
          <w:szCs w:val="24"/>
        </w:rPr>
        <w:t xml:space="preserve">Comment: </w:t>
      </w:r>
      <w:r w:rsidR="00B76090" w:rsidRPr="00B76090">
        <w:rPr>
          <w:rFonts w:ascii="Calibri" w:eastAsia="Calibri" w:hAnsi="Calibri" w:cs="Times New Roman"/>
          <w:b/>
          <w:i/>
          <w:color w:val="002060"/>
          <w:sz w:val="24"/>
          <w:szCs w:val="24"/>
        </w:rPr>
        <w:t>The 278-page volume —</w:t>
      </w:r>
      <w:r w:rsidR="00B76090" w:rsidRPr="00B76090">
        <w:rPr>
          <w:rFonts w:ascii="Calibri" w:eastAsia="Calibri" w:hAnsi="Calibri" w:cs="Times New Roman"/>
          <w:b/>
          <w:i/>
          <w:iCs/>
          <w:color w:val="002060"/>
          <w:sz w:val="24"/>
          <w:szCs w:val="24"/>
        </w:rPr>
        <w:t>Crisis and Response: An FDIC History, 2008–2013</w:t>
      </w:r>
      <w:r w:rsidR="00B017FE">
        <w:rPr>
          <w:rFonts w:ascii="Calibri" w:eastAsia="Calibri" w:hAnsi="Calibri" w:cs="Times New Roman"/>
          <w:b/>
          <w:i/>
          <w:color w:val="002060"/>
          <w:sz w:val="24"/>
          <w:szCs w:val="24"/>
        </w:rPr>
        <w:t xml:space="preserve"> </w:t>
      </w:r>
      <w:r w:rsidR="00B76090" w:rsidRPr="00B76090">
        <w:rPr>
          <w:rFonts w:ascii="Calibri" w:eastAsia="Calibri" w:hAnsi="Calibri" w:cs="Times New Roman"/>
          <w:b/>
          <w:i/>
          <w:color w:val="002060"/>
          <w:sz w:val="24"/>
          <w:szCs w:val="24"/>
        </w:rPr>
        <w:t>– looks at the crisis in two parts: the origins of the crisis and the use by the agency of emergency authorities to respond to financial market illiquidity and the problems of systemically important financial institutions, and; the challenges the agency says it faced in carrying out core missions. Those include bank supervision, deposit insurance, and failed-bank resolution.</w:t>
      </w:r>
    </w:p>
    <w:p w:rsidR="00A52376" w:rsidRPr="00436AD8" w:rsidRDefault="00A52376" w:rsidP="002221C5">
      <w:pPr>
        <w:pStyle w:val="CCTOCHeading"/>
        <w:rPr>
          <w:rFonts w:asciiTheme="minorHAnsi" w:hAnsiTheme="minorHAnsi" w:cstheme="minorHAnsi"/>
        </w:rPr>
      </w:pPr>
      <w:bookmarkStart w:id="19" w:name="_Toc409519095"/>
      <w:bookmarkStart w:id="20" w:name="_Toc504138795"/>
      <w:bookmarkStart w:id="21" w:name="_Toc504562609"/>
      <w:bookmarkEnd w:id="11"/>
      <w:bookmarkEnd w:id="12"/>
      <w:bookmarkEnd w:id="13"/>
      <w:bookmarkEnd w:id="14"/>
      <w:bookmarkEnd w:id="15"/>
      <w:r w:rsidRPr="00436AD8">
        <w:rPr>
          <w:rFonts w:asciiTheme="minorHAnsi" w:hAnsiTheme="minorHAnsi" w:cstheme="minorHAnsi"/>
        </w:rPr>
        <w:t>OCC actions</w:t>
      </w:r>
      <w:bookmarkStart w:id="22" w:name="_Hlk484674731"/>
      <w:bookmarkStart w:id="23" w:name="_Toc409519096"/>
      <w:bookmarkEnd w:id="19"/>
      <w:bookmarkEnd w:id="20"/>
      <w:bookmarkEnd w:id="21"/>
    </w:p>
    <w:p w:rsidR="000C7C83" w:rsidRPr="00C3017B" w:rsidRDefault="000C7C83" w:rsidP="000C7C83">
      <w:pPr>
        <w:spacing w:before="120" w:after="120"/>
        <w:rPr>
          <w:rFonts w:ascii="Calibri" w:eastAsia="Calibri" w:hAnsi="Calibri" w:cs="Times New Roman"/>
          <w:b/>
          <w:bCs/>
          <w:i/>
          <w:color w:val="000000" w:themeColor="text1"/>
          <w:sz w:val="24"/>
          <w:szCs w:val="24"/>
        </w:rPr>
      </w:pPr>
      <w:bookmarkStart w:id="24" w:name="_Hlk504375405"/>
      <w:bookmarkStart w:id="25" w:name="_Toc409519097"/>
      <w:bookmarkStart w:id="26" w:name="_Toc504138796"/>
      <w:bookmarkStart w:id="27" w:name="_Hlk495582916"/>
      <w:bookmarkEnd w:id="22"/>
      <w:bookmarkEnd w:id="23"/>
      <w:r w:rsidRPr="00C3017B">
        <w:rPr>
          <w:rFonts w:ascii="Calibri" w:eastAsia="Calibri" w:hAnsi="Calibri" w:cs="Times New Roman"/>
          <w:b/>
          <w:bCs/>
          <w:i/>
          <w:color w:val="000000" w:themeColor="text1"/>
          <w:sz w:val="24"/>
          <w:szCs w:val="24"/>
        </w:rPr>
        <w:t>OCC Report Discusses Key Risks for Federal Banking System (01.18.2018)</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WASHINGTON — The Office of the Comptroller of the Currency (OCC) today reported credit, operational, and compliance risks are key concerns for the federal banking system in its </w:t>
      </w:r>
      <w:r w:rsidRPr="000C7C83">
        <w:rPr>
          <w:rFonts w:ascii="Calibri" w:eastAsia="Calibri" w:hAnsi="Calibri" w:cs="Times New Roman"/>
          <w:i/>
          <w:iCs/>
          <w:sz w:val="24"/>
          <w:szCs w:val="24"/>
        </w:rPr>
        <w:t>Semiannual Risk Perspective for Fall 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Highlights from the report include:</w:t>
      </w:r>
    </w:p>
    <w:p w:rsidR="000C7C83" w:rsidRPr="000C7C83" w:rsidRDefault="000C7C83" w:rsidP="000C7C83">
      <w:pPr>
        <w:numPr>
          <w:ilvl w:val="0"/>
          <w:numId w:val="40"/>
        </w:numPr>
        <w:spacing w:before="120" w:after="120" w:line="259" w:lineRule="auto"/>
        <w:rPr>
          <w:rFonts w:ascii="Calibri" w:eastAsia="Calibri" w:hAnsi="Calibri" w:cs="Times New Roman"/>
          <w:sz w:val="24"/>
          <w:szCs w:val="24"/>
        </w:rPr>
      </w:pPr>
      <w:r w:rsidRPr="000C7C83">
        <w:rPr>
          <w:rFonts w:ascii="Calibri" w:eastAsia="Calibri" w:hAnsi="Calibri" w:cs="Times New Roman"/>
          <w:sz w:val="24"/>
          <w:szCs w:val="24"/>
        </w:rPr>
        <w:t>The credit environment continues to be influenced by aggressive competition, tighter spreads, and slowing loan growth. These factors are driving incremental easing in underwriting practices and increasing concentrations in select loan portfolios—leading to heightened risk if the economy weakens or markets tighten quickly.</w:t>
      </w:r>
    </w:p>
    <w:p w:rsidR="000C7C83" w:rsidRPr="000C7C83" w:rsidRDefault="000C7C83" w:rsidP="000C7C83">
      <w:pPr>
        <w:numPr>
          <w:ilvl w:val="0"/>
          <w:numId w:val="40"/>
        </w:numPr>
        <w:spacing w:before="120" w:after="120" w:line="259" w:lineRule="auto"/>
        <w:rPr>
          <w:rFonts w:ascii="Calibri" w:eastAsia="Calibri" w:hAnsi="Calibri" w:cs="Times New Roman"/>
          <w:sz w:val="24"/>
          <w:szCs w:val="24"/>
        </w:rPr>
      </w:pPr>
      <w:r w:rsidRPr="000C7C83">
        <w:rPr>
          <w:rFonts w:ascii="Calibri" w:eastAsia="Calibri" w:hAnsi="Calibri" w:cs="Times New Roman"/>
          <w:sz w:val="24"/>
          <w:szCs w:val="24"/>
        </w:rPr>
        <w:t>Operational risk continues to challenge banks because of increasing complexity of cybersecurity threats, use of third-party service providers, and increasing concentrations in third-party service providers for some critical operations.</w:t>
      </w:r>
    </w:p>
    <w:p w:rsidR="000C7C83" w:rsidRPr="000C7C83" w:rsidRDefault="000C7C83" w:rsidP="000C7C83">
      <w:pPr>
        <w:numPr>
          <w:ilvl w:val="0"/>
          <w:numId w:val="40"/>
        </w:numPr>
        <w:spacing w:before="120" w:after="120" w:line="259" w:lineRule="auto"/>
        <w:rPr>
          <w:rFonts w:ascii="Calibri" w:eastAsia="Calibri" w:hAnsi="Calibri" w:cs="Times New Roman"/>
          <w:sz w:val="24"/>
          <w:szCs w:val="24"/>
        </w:rPr>
      </w:pPr>
      <w:r w:rsidRPr="000C7C83">
        <w:rPr>
          <w:rFonts w:ascii="Calibri" w:eastAsia="Calibri" w:hAnsi="Calibri" w:cs="Times New Roman"/>
          <w:sz w:val="24"/>
          <w:szCs w:val="24"/>
        </w:rPr>
        <w:t>Compliance risk remains elevated as banks continue to manage money laundering risks, as well as consumer compliance risks, particularly due to the increasing complexity in consumer compliance regulations.</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report covers risks facing national banks and federal savings associations based on data as of June 30, 2017. The report presents data in four main areas: the operating environment, bank performance, trends in key risks, and supervisory actions. It focuses on issues that pose threats to those financial institutions regulated by the OCC and is intended as a resource to the industry, examiners, and the public.</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29"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b/>
          <w:color w:val="002060"/>
          <w:sz w:val="24"/>
          <w:szCs w:val="24"/>
        </w:rPr>
      </w:pPr>
      <w:r w:rsidRPr="000C7C83">
        <w:rPr>
          <w:rFonts w:ascii="Calibri" w:eastAsia="Calibri" w:hAnsi="Calibri" w:cs="Times New Roman"/>
          <w:b/>
          <w:i/>
          <w:color w:val="002060"/>
          <w:sz w:val="24"/>
          <w:szCs w:val="24"/>
        </w:rPr>
        <w:t xml:space="preserve">Comment: </w:t>
      </w:r>
      <w:r w:rsidR="00B017FE">
        <w:rPr>
          <w:rFonts w:ascii="Calibri" w:eastAsia="Calibri" w:hAnsi="Calibri" w:cs="Times New Roman"/>
          <w:b/>
          <w:i/>
          <w:color w:val="002060"/>
          <w:sz w:val="24"/>
          <w:szCs w:val="24"/>
        </w:rPr>
        <w:t>T</w:t>
      </w:r>
      <w:r w:rsidR="00B017FE" w:rsidRPr="00B017FE">
        <w:rPr>
          <w:rFonts w:ascii="Calibri" w:eastAsia="Calibri" w:hAnsi="Calibri" w:cs="Times New Roman"/>
          <w:b/>
          <w:i/>
          <w:color w:val="002060"/>
          <w:sz w:val="24"/>
          <w:szCs w:val="24"/>
        </w:rPr>
        <w:t xml:space="preserve">he OCC placed cybersecurity and anti-money laundering (AML) issues among the three top concerns highlighted in the report. </w:t>
      </w:r>
      <w:r w:rsidR="00B017FE">
        <w:rPr>
          <w:rFonts w:ascii="Calibri" w:eastAsia="Calibri" w:hAnsi="Calibri" w:cs="Times New Roman"/>
          <w:b/>
          <w:i/>
          <w:color w:val="002060"/>
          <w:sz w:val="24"/>
          <w:szCs w:val="24"/>
        </w:rPr>
        <w:t>This is i</w:t>
      </w:r>
      <w:r w:rsidR="00141797" w:rsidRPr="00141797">
        <w:rPr>
          <w:rFonts w:ascii="Calibri" w:eastAsia="Calibri" w:hAnsi="Calibri" w:cs="Times New Roman"/>
          <w:b/>
          <w:i/>
          <w:color w:val="002060"/>
          <w:sz w:val="24"/>
          <w:szCs w:val="24"/>
        </w:rPr>
        <w:t>mportant reading for senior management!</w:t>
      </w:r>
    </w:p>
    <w:bookmarkEnd w:id="24"/>
    <w:p w:rsidR="000C7C83" w:rsidRPr="000C7C83" w:rsidRDefault="000C7C83" w:rsidP="000C7C83">
      <w:pPr>
        <w:spacing w:before="120" w:after="120"/>
        <w:rPr>
          <w:rFonts w:ascii="Calibri" w:eastAsia="Calibri" w:hAnsi="Calibri" w:cs="Times New Roman"/>
          <w:b/>
          <w:color w:val="595959"/>
          <w:sz w:val="24"/>
          <w:szCs w:val="24"/>
        </w:rPr>
      </w:pPr>
    </w:p>
    <w:p w:rsidR="000C7C83" w:rsidRPr="00C3017B" w:rsidRDefault="000C7C83" w:rsidP="00C45A3D">
      <w:pPr>
        <w:keepNext/>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lastRenderedPageBreak/>
        <w:t>OCC Reports Mortgage Performance Unchanged (12.22.2017)</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WASHINGTON — Performance of first-lien mortgages remained unchanged during the third quarter of 2017 compared with a year earlier, according to the Office of the Comptroller of the Currency</w:t>
      </w:r>
      <w:r w:rsidR="00C45A3D">
        <w:rPr>
          <w:rFonts w:ascii="Calibri" w:eastAsia="Calibri" w:hAnsi="Calibri" w:cs="Times New Roman"/>
          <w:sz w:val="24"/>
          <w:szCs w:val="24"/>
        </w:rPr>
        <w:t>’</w:t>
      </w:r>
      <w:r w:rsidRPr="000C7C83">
        <w:rPr>
          <w:rFonts w:ascii="Calibri" w:eastAsia="Calibri" w:hAnsi="Calibri" w:cs="Times New Roman"/>
          <w:sz w:val="24"/>
          <w:szCs w:val="24"/>
        </w:rPr>
        <w:t>s (OCC) quarterly report on mortgages.</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 xml:space="preserve">The </w:t>
      </w:r>
      <w:r w:rsidRPr="000C7C83">
        <w:rPr>
          <w:rFonts w:ascii="Calibri" w:eastAsia="Calibri" w:hAnsi="Calibri" w:cs="Times New Roman"/>
          <w:i/>
          <w:iCs/>
          <w:sz w:val="24"/>
          <w:szCs w:val="24"/>
        </w:rPr>
        <w:t>OCC Mortgage Metrics Report, Third Quarter 2017,</w:t>
      </w:r>
      <w:r w:rsidRPr="000C7C83">
        <w:rPr>
          <w:rFonts w:ascii="Calibri" w:eastAsia="Calibri" w:hAnsi="Calibri" w:cs="Times New Roman"/>
          <w:sz w:val="24"/>
          <w:szCs w:val="24"/>
        </w:rPr>
        <w:t xml:space="preserve"> showed 94.8 percent of mortgages included in the report were current and performing at the end of the quarter, the same as a year earlier.</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report also showed that foreclosure activity has decreased from the previous quarter. Reporting servicers initiated 34,266 new foreclosures during the third quarter of 2017, a 4.7 percent decrease from the previous quarter and a decrease of 28.5 percent from a year earlier. Servicers implemented 25,799 mortgage modifications in the third quarter of 2017. Seventy-eight percent of the modifications reduced borrowers</w:t>
      </w:r>
      <w:r w:rsidR="00C45A3D">
        <w:rPr>
          <w:rFonts w:ascii="Calibri" w:eastAsia="Calibri" w:hAnsi="Calibri" w:cs="Times New Roman"/>
          <w:sz w:val="24"/>
          <w:szCs w:val="24"/>
        </w:rPr>
        <w:t>’</w:t>
      </w:r>
      <w:r w:rsidRPr="000C7C83">
        <w:rPr>
          <w:rFonts w:ascii="Calibri" w:eastAsia="Calibri" w:hAnsi="Calibri" w:cs="Times New Roman"/>
          <w:sz w:val="24"/>
          <w:szCs w:val="24"/>
        </w:rPr>
        <w:t xml:space="preserve"> monthly payments.</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The first-lien mortgages included in the OCC</w:t>
      </w:r>
      <w:r w:rsidR="00C45A3D">
        <w:rPr>
          <w:rFonts w:ascii="Calibri" w:eastAsia="Calibri" w:hAnsi="Calibri" w:cs="Times New Roman"/>
          <w:sz w:val="24"/>
          <w:szCs w:val="24"/>
        </w:rPr>
        <w:t>’</w:t>
      </w:r>
      <w:r w:rsidRPr="000C7C83">
        <w:rPr>
          <w:rFonts w:ascii="Calibri" w:eastAsia="Calibri" w:hAnsi="Calibri" w:cs="Times New Roman"/>
          <w:sz w:val="24"/>
          <w:szCs w:val="24"/>
        </w:rPr>
        <w:t>s quarterly report comprise 33 percent of all residential mortgages outstanding in the United States or approximately 18.4 million loans totaling $3.32 trillion in principal balances. This report provides information on mortgage performance through September 30, 2017, and it can be downloaded from the OCC</w:t>
      </w:r>
      <w:r w:rsidR="00C45A3D">
        <w:rPr>
          <w:rFonts w:ascii="Calibri" w:eastAsia="Calibri" w:hAnsi="Calibri" w:cs="Times New Roman"/>
          <w:sz w:val="24"/>
          <w:szCs w:val="24"/>
        </w:rPr>
        <w:t>’</w:t>
      </w:r>
      <w:r w:rsidRPr="000C7C83">
        <w:rPr>
          <w:rFonts w:ascii="Calibri" w:eastAsia="Calibri" w:hAnsi="Calibri" w:cs="Times New Roman"/>
          <w:sz w:val="24"/>
          <w:szCs w:val="24"/>
        </w:rPr>
        <w:t xml:space="preserve">s website, </w:t>
      </w:r>
      <w:hyperlink r:id="rId30" w:tgtFrame="_blank" w:tooltip="OCC" w:history="1">
        <w:r w:rsidRPr="000C7C83">
          <w:rPr>
            <w:rFonts w:ascii="Calibri" w:eastAsia="Calibri" w:hAnsi="Calibri" w:cs="Times New Roman"/>
            <w:color w:val="0563C1"/>
            <w:sz w:val="24"/>
            <w:szCs w:val="24"/>
            <w:u w:val="single"/>
          </w:rPr>
          <w:t>www.occ.gov</w:t>
        </w:r>
      </w:hyperlink>
      <w:r w:rsidR="00D01198">
        <w:rPr>
          <w:rFonts w:ascii="Calibri" w:eastAsia="Calibri" w:hAnsi="Calibri" w:cs="Times New Roman"/>
          <w:sz w:val="24"/>
          <w:szCs w:val="24"/>
        </w:rPr>
        <w:t>.</w:t>
      </w:r>
    </w:p>
    <w:p w:rsidR="000C7C83" w:rsidRPr="000C7C83" w:rsidRDefault="000C7C83" w:rsidP="000C7C83">
      <w:pPr>
        <w:spacing w:before="120" w:after="120"/>
        <w:rPr>
          <w:rFonts w:ascii="Calibri" w:eastAsia="Calibri" w:hAnsi="Calibri" w:cs="Times New Roman"/>
          <w:b/>
          <w:color w:val="002060"/>
          <w:sz w:val="24"/>
          <w:szCs w:val="24"/>
        </w:rPr>
      </w:pPr>
      <w:r w:rsidRPr="000C7C83">
        <w:rPr>
          <w:rFonts w:ascii="Calibri" w:eastAsia="Calibri" w:hAnsi="Calibri" w:cs="Times New Roman"/>
          <w:b/>
          <w:i/>
          <w:color w:val="002060"/>
          <w:sz w:val="24"/>
          <w:szCs w:val="24"/>
        </w:rPr>
        <w:t xml:space="preserve">Comment: </w:t>
      </w:r>
      <w:r w:rsidR="00B017FE" w:rsidRPr="00B017FE">
        <w:rPr>
          <w:rFonts w:ascii="Calibri" w:eastAsia="Calibri" w:hAnsi="Calibri" w:cs="Times New Roman"/>
          <w:b/>
          <w:i/>
          <w:color w:val="002060"/>
          <w:sz w:val="24"/>
          <w:szCs w:val="24"/>
        </w:rPr>
        <w:t>The OCC</w:t>
      </w:r>
      <w:r w:rsidR="00C45A3D">
        <w:rPr>
          <w:rFonts w:ascii="Calibri" w:eastAsia="Calibri" w:hAnsi="Calibri" w:cs="Times New Roman"/>
          <w:b/>
          <w:i/>
          <w:color w:val="002060"/>
          <w:sz w:val="24"/>
          <w:szCs w:val="24"/>
        </w:rPr>
        <w:t>’</w:t>
      </w:r>
      <w:r w:rsidR="00B017FE" w:rsidRPr="00B017FE">
        <w:rPr>
          <w:rFonts w:ascii="Calibri" w:eastAsia="Calibri" w:hAnsi="Calibri" w:cs="Times New Roman"/>
          <w:b/>
          <w:i/>
          <w:color w:val="002060"/>
          <w:sz w:val="24"/>
          <w:szCs w:val="24"/>
        </w:rPr>
        <w:t xml:space="preserve">s Mortgage Metrics Report found that foreclosure activity fell 28.5% </w:t>
      </w:r>
      <w:r w:rsidR="00B017FE">
        <w:rPr>
          <w:rFonts w:ascii="Calibri" w:eastAsia="Calibri" w:hAnsi="Calibri" w:cs="Times New Roman"/>
          <w:b/>
          <w:i/>
          <w:color w:val="002060"/>
          <w:sz w:val="24"/>
          <w:szCs w:val="24"/>
        </w:rPr>
        <w:t xml:space="preserve">from the same quarter </w:t>
      </w:r>
      <w:r w:rsidR="00B017FE" w:rsidRPr="00B017FE">
        <w:rPr>
          <w:rFonts w:ascii="Calibri" w:eastAsia="Calibri" w:hAnsi="Calibri" w:cs="Times New Roman"/>
          <w:b/>
          <w:i/>
          <w:color w:val="002060"/>
          <w:sz w:val="24"/>
          <w:szCs w:val="24"/>
        </w:rPr>
        <w:t xml:space="preserve">a year earlier, to 34,266 foreclosures. Foreclosures dipped 4.7% from </w:t>
      </w:r>
      <w:r w:rsidR="00B017FE">
        <w:rPr>
          <w:rFonts w:ascii="Calibri" w:eastAsia="Calibri" w:hAnsi="Calibri" w:cs="Times New Roman"/>
          <w:b/>
          <w:i/>
          <w:color w:val="002060"/>
          <w:sz w:val="24"/>
          <w:szCs w:val="24"/>
        </w:rPr>
        <w:t>the</w:t>
      </w:r>
      <w:r w:rsidR="00B017FE" w:rsidRPr="00B017FE">
        <w:rPr>
          <w:rFonts w:ascii="Calibri" w:eastAsia="Calibri" w:hAnsi="Calibri" w:cs="Times New Roman"/>
          <w:b/>
          <w:i/>
          <w:color w:val="002060"/>
          <w:sz w:val="24"/>
          <w:szCs w:val="24"/>
        </w:rPr>
        <w:t xml:space="preserve"> second quarter.</w:t>
      </w:r>
    </w:p>
    <w:p w:rsidR="000C7C83" w:rsidRPr="000C7C83" w:rsidRDefault="000C7C83" w:rsidP="000C7C83">
      <w:pPr>
        <w:pStyle w:val="CCTOCHeading"/>
        <w:rPr>
          <w:rFonts w:cstheme="minorHAnsi"/>
        </w:rPr>
      </w:pPr>
      <w:bookmarkStart w:id="28" w:name="_Toc504562610"/>
      <w:r>
        <w:rPr>
          <w:rFonts w:cstheme="minorHAnsi"/>
        </w:rPr>
        <w:t>Federal Reserve actions</w:t>
      </w:r>
      <w:r w:rsidRPr="000C7C83">
        <w:rPr>
          <w:rFonts w:cstheme="minorHAnsi"/>
        </w:rPr>
        <w:t xml:space="preserve"> federal action and news</w:t>
      </w:r>
      <w:bookmarkEnd w:id="28"/>
    </w:p>
    <w:p w:rsidR="000C7C83" w:rsidRPr="00C3017B" w:rsidRDefault="000C7C83" w:rsidP="000C7C83">
      <w:pPr>
        <w:spacing w:before="120" w:after="120"/>
        <w:rPr>
          <w:rFonts w:ascii="Calibri" w:eastAsia="Calibri" w:hAnsi="Calibri" w:cs="Times New Roman"/>
          <w:b/>
          <w:i/>
          <w:color w:val="000000" w:themeColor="text1"/>
          <w:sz w:val="24"/>
          <w:szCs w:val="24"/>
        </w:rPr>
      </w:pPr>
      <w:r w:rsidRPr="00C3017B">
        <w:rPr>
          <w:rFonts w:ascii="Calibri" w:eastAsia="Calibri" w:hAnsi="Calibri" w:cs="Times New Roman"/>
          <w:b/>
          <w:i/>
          <w:color w:val="000000" w:themeColor="text1"/>
          <w:sz w:val="24"/>
          <w:szCs w:val="24"/>
        </w:rPr>
        <w:t>Community Depository Institutions Advisory Council - Record of Meeting, November 17, 2017 (12.18.2017)</w:t>
      </w:r>
    </w:p>
    <w:p w:rsidR="000C7C83" w:rsidRPr="00C45A3D" w:rsidRDefault="000C7C83" w:rsidP="000C7C83">
      <w:pPr>
        <w:spacing w:before="120" w:after="120"/>
        <w:rPr>
          <w:rFonts w:ascii="Calibri" w:eastAsia="Calibri" w:hAnsi="Calibri" w:cs="Times New Roman"/>
          <w:sz w:val="24"/>
          <w:szCs w:val="24"/>
          <w:lang w:val="en"/>
        </w:rPr>
      </w:pPr>
      <w:r w:rsidRPr="00C45A3D">
        <w:rPr>
          <w:rFonts w:ascii="Calibri" w:eastAsia="Calibri" w:hAnsi="Calibri" w:cs="Times New Roman"/>
          <w:sz w:val="24"/>
          <w:szCs w:val="24"/>
          <w:lang w:val="en"/>
        </w:rPr>
        <w:t>The Community Depository Institutions Advisory Council (CDIAC) was established in 2010 by the Board of Governors to provide input to the Board on the economy, lending conditions, and other issues of interest to community depository institutions. Unlike the Federal Advisory Council, CDIAC is not a statutory body, but it performs a parallel function in providing first-hand input to the Board on the economy, lending conditions, and other issues. Members are selected from representatives of banks, thrift institutions, and credit unions serving on newly created local advisory councils at the twelve Federal Reserve Banks. One member of each of the Reserve Bank councils is selected to serve on the CDIAC, which will meet twice a year with the Board in Washington.</w:t>
      </w:r>
    </w:p>
    <w:p w:rsidR="000C7C83" w:rsidRPr="00C45A3D" w:rsidRDefault="000C7C83" w:rsidP="000C7C83">
      <w:pPr>
        <w:spacing w:before="120" w:after="120"/>
        <w:rPr>
          <w:rFonts w:ascii="Calibri" w:eastAsia="Calibri" w:hAnsi="Calibri" w:cs="Times New Roman"/>
          <w:sz w:val="24"/>
          <w:szCs w:val="24"/>
          <w:lang w:val="en"/>
        </w:rPr>
      </w:pPr>
      <w:r w:rsidRPr="00C45A3D">
        <w:rPr>
          <w:rFonts w:ascii="Calibri" w:eastAsia="Calibri" w:hAnsi="Calibri" w:cs="Times New Roman"/>
          <w:sz w:val="24"/>
          <w:szCs w:val="24"/>
          <w:lang w:val="en"/>
        </w:rPr>
        <w:t>Members for 2018</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Gilda M. Nogueira</w:t>
      </w:r>
      <w:r w:rsidRPr="00C45A3D">
        <w:rPr>
          <w:rFonts w:ascii="Calibri" w:eastAsia="Calibri" w:hAnsi="Calibri" w:cs="Times New Roman"/>
          <w:sz w:val="24"/>
          <w:szCs w:val="24"/>
          <w:lang w:val="en"/>
        </w:rPr>
        <w:t xml:space="preserve">, Cambridge, Massachusetts, </w:t>
      </w:r>
      <w:r w:rsidRPr="00C45A3D">
        <w:rPr>
          <w:rFonts w:ascii="Calibri" w:eastAsia="Calibri" w:hAnsi="Calibri" w:cs="Times New Roman"/>
          <w:i/>
          <w:iCs/>
          <w:sz w:val="24"/>
          <w:szCs w:val="24"/>
          <w:lang w:val="en"/>
        </w:rPr>
        <w:t>President</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Christopher D. Maher</w:t>
      </w:r>
      <w:r w:rsidRPr="00C45A3D">
        <w:rPr>
          <w:rFonts w:ascii="Calibri" w:eastAsia="Calibri" w:hAnsi="Calibri" w:cs="Times New Roman"/>
          <w:sz w:val="24"/>
          <w:szCs w:val="24"/>
          <w:lang w:val="en"/>
        </w:rPr>
        <w:t xml:space="preserve">, Toms River, New Jersey, </w:t>
      </w:r>
      <w:r w:rsidRPr="00C45A3D">
        <w:rPr>
          <w:rFonts w:ascii="Calibri" w:eastAsia="Calibri" w:hAnsi="Calibri" w:cs="Times New Roman"/>
          <w:i/>
          <w:iCs/>
          <w:sz w:val="24"/>
          <w:szCs w:val="24"/>
          <w:lang w:val="en"/>
        </w:rPr>
        <w:t>Vice President</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Lora Benrud</w:t>
      </w:r>
      <w:r w:rsidRPr="00C45A3D">
        <w:rPr>
          <w:rFonts w:ascii="Calibri" w:eastAsia="Calibri" w:hAnsi="Calibri" w:cs="Times New Roman"/>
          <w:sz w:val="24"/>
          <w:szCs w:val="24"/>
          <w:lang w:val="en"/>
        </w:rPr>
        <w:t>, Menomonie, Wisconsin</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Alvin J. Cowans</w:t>
      </w:r>
      <w:r w:rsidRPr="00C45A3D">
        <w:rPr>
          <w:rFonts w:ascii="Calibri" w:eastAsia="Calibri" w:hAnsi="Calibri" w:cs="Times New Roman"/>
          <w:sz w:val="24"/>
          <w:szCs w:val="24"/>
          <w:lang w:val="en"/>
        </w:rPr>
        <w:t>, Orlando, Florida</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Robert A. DeAlmeida</w:t>
      </w:r>
      <w:r w:rsidRPr="00C45A3D">
        <w:rPr>
          <w:rFonts w:ascii="Calibri" w:eastAsia="Calibri" w:hAnsi="Calibri" w:cs="Times New Roman"/>
          <w:sz w:val="24"/>
          <w:szCs w:val="24"/>
          <w:lang w:val="en"/>
        </w:rPr>
        <w:t>, Baltimore, Maryland</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Thomas J. Fraser</w:t>
      </w:r>
      <w:r w:rsidRPr="00C45A3D">
        <w:rPr>
          <w:rFonts w:ascii="Calibri" w:eastAsia="Calibri" w:hAnsi="Calibri" w:cs="Times New Roman"/>
          <w:sz w:val="24"/>
          <w:szCs w:val="24"/>
          <w:lang w:val="en"/>
        </w:rPr>
        <w:t>, Lakewood, Ohio</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Kyle Heckman</w:t>
      </w:r>
      <w:r w:rsidRPr="00C45A3D">
        <w:rPr>
          <w:rFonts w:ascii="Calibri" w:eastAsia="Calibri" w:hAnsi="Calibri" w:cs="Times New Roman"/>
          <w:sz w:val="24"/>
          <w:szCs w:val="24"/>
          <w:lang w:val="en"/>
        </w:rPr>
        <w:t>, Boulder, Colorado</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Elizabeth G. McCoy</w:t>
      </w:r>
      <w:r w:rsidRPr="00C45A3D">
        <w:rPr>
          <w:rFonts w:ascii="Calibri" w:eastAsia="Calibri" w:hAnsi="Calibri" w:cs="Times New Roman"/>
          <w:sz w:val="24"/>
          <w:szCs w:val="24"/>
          <w:lang w:val="en"/>
        </w:rPr>
        <w:t>, Hopkinsville, Kentucky</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Christopher J. Murphy III</w:t>
      </w:r>
      <w:r w:rsidRPr="00C45A3D">
        <w:rPr>
          <w:rFonts w:ascii="Calibri" w:eastAsia="Calibri" w:hAnsi="Calibri" w:cs="Times New Roman"/>
          <w:sz w:val="24"/>
          <w:szCs w:val="24"/>
          <w:lang w:val="en"/>
        </w:rPr>
        <w:t>, South Bend, Indiana</w:t>
      </w:r>
    </w:p>
    <w:p w:rsidR="000C7C83" w:rsidRPr="00C45A3D" w:rsidRDefault="000C7C83" w:rsidP="00C45A3D">
      <w:pPr>
        <w:numPr>
          <w:ilvl w:val="0"/>
          <w:numId w:val="41"/>
        </w:numPr>
        <w:rPr>
          <w:rFonts w:ascii="Calibri" w:eastAsia="Calibri" w:hAnsi="Calibri" w:cs="Times New Roman"/>
          <w:sz w:val="24"/>
          <w:szCs w:val="24"/>
          <w:lang w:val="en"/>
        </w:rPr>
      </w:pPr>
      <w:r w:rsidRPr="00C45A3D">
        <w:rPr>
          <w:rFonts w:ascii="Calibri" w:eastAsia="Calibri" w:hAnsi="Calibri" w:cs="Times New Roman"/>
          <w:bCs/>
          <w:sz w:val="24"/>
          <w:szCs w:val="24"/>
          <w:lang w:val="en"/>
        </w:rPr>
        <w:t>Tyrone E. Muse</w:t>
      </w:r>
      <w:r w:rsidRPr="00C45A3D">
        <w:rPr>
          <w:rFonts w:ascii="Calibri" w:eastAsia="Calibri" w:hAnsi="Calibri" w:cs="Times New Roman"/>
          <w:sz w:val="24"/>
          <w:szCs w:val="24"/>
          <w:lang w:val="en"/>
        </w:rPr>
        <w:t>, Endicott, New York</w:t>
      </w:r>
    </w:p>
    <w:p w:rsidR="000C7C83" w:rsidRPr="00001EFA" w:rsidRDefault="000C7C83" w:rsidP="00C45A3D">
      <w:pPr>
        <w:numPr>
          <w:ilvl w:val="0"/>
          <w:numId w:val="41"/>
        </w:numPr>
        <w:rPr>
          <w:rFonts w:ascii="Calibri" w:eastAsia="Calibri" w:hAnsi="Calibri" w:cs="Times New Roman"/>
          <w:sz w:val="24"/>
          <w:szCs w:val="24"/>
          <w:lang w:val="en"/>
        </w:rPr>
      </w:pPr>
      <w:r w:rsidRPr="00001EFA">
        <w:rPr>
          <w:rFonts w:ascii="Calibri" w:eastAsia="Calibri" w:hAnsi="Calibri" w:cs="Times New Roman"/>
          <w:bCs/>
          <w:sz w:val="24"/>
          <w:szCs w:val="24"/>
          <w:lang w:val="en"/>
        </w:rPr>
        <w:t>Joe Quiroga</w:t>
      </w:r>
      <w:r w:rsidRPr="00001EFA">
        <w:rPr>
          <w:rFonts w:ascii="Calibri" w:eastAsia="Calibri" w:hAnsi="Calibri" w:cs="Times New Roman"/>
          <w:sz w:val="24"/>
          <w:szCs w:val="24"/>
          <w:lang w:val="en"/>
        </w:rPr>
        <w:t>, Mercedes, Texas</w:t>
      </w:r>
    </w:p>
    <w:p w:rsidR="000C7C83" w:rsidRPr="00C45A3D" w:rsidRDefault="000C7C83" w:rsidP="00C45A3D">
      <w:pPr>
        <w:numPr>
          <w:ilvl w:val="0"/>
          <w:numId w:val="41"/>
        </w:numPr>
        <w:spacing w:after="120" w:line="259" w:lineRule="auto"/>
        <w:rPr>
          <w:rFonts w:ascii="Calibri" w:eastAsia="Calibri" w:hAnsi="Calibri" w:cs="Times New Roman"/>
          <w:sz w:val="24"/>
          <w:szCs w:val="24"/>
          <w:lang w:val="en"/>
        </w:rPr>
      </w:pPr>
      <w:r w:rsidRPr="00C45A3D">
        <w:rPr>
          <w:rFonts w:ascii="Calibri" w:eastAsia="Calibri" w:hAnsi="Calibri" w:cs="Times New Roman"/>
          <w:bCs/>
          <w:sz w:val="24"/>
          <w:szCs w:val="24"/>
          <w:lang w:val="en"/>
        </w:rPr>
        <w:t>Richard M. Sanborn</w:t>
      </w:r>
      <w:r w:rsidRPr="00C45A3D">
        <w:rPr>
          <w:rFonts w:ascii="Calibri" w:eastAsia="Calibri" w:hAnsi="Calibri" w:cs="Times New Roman"/>
          <w:sz w:val="24"/>
          <w:szCs w:val="24"/>
          <w:lang w:val="en"/>
        </w:rPr>
        <w:t>, San Diego, California</w:t>
      </w:r>
    </w:p>
    <w:p w:rsidR="000C7C83" w:rsidRPr="000C7C83" w:rsidRDefault="000C7C83" w:rsidP="00001EFA">
      <w:pPr>
        <w:spacing w:before="120" w:after="120"/>
        <w:rPr>
          <w:rFonts w:ascii="Calibri" w:eastAsia="Calibri" w:hAnsi="Calibri" w:cs="Times New Roman"/>
          <w:b/>
          <w:color w:val="595959"/>
          <w:sz w:val="24"/>
          <w:szCs w:val="24"/>
        </w:rPr>
      </w:pPr>
      <w:r w:rsidRPr="000C7C83">
        <w:rPr>
          <w:rFonts w:ascii="Calibri" w:eastAsia="Calibri" w:hAnsi="Calibri" w:cs="Times New Roman"/>
          <w:b/>
          <w:color w:val="595959"/>
          <w:sz w:val="24"/>
          <w:szCs w:val="24"/>
        </w:rPr>
        <w:t xml:space="preserve">Source </w:t>
      </w:r>
      <w:hyperlink r:id="rId31"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color w:val="595959"/>
          <w:sz w:val="24"/>
          <w:szCs w:val="24"/>
        </w:rPr>
        <w:t>.</w:t>
      </w:r>
    </w:p>
    <w:p w:rsidR="000C7C83" w:rsidRPr="00B017FE" w:rsidRDefault="000C7C83" w:rsidP="00B017FE">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lastRenderedPageBreak/>
        <w:t xml:space="preserve">Comments: For the Record of the Meeting held November 17, 2017 click </w:t>
      </w:r>
      <w:hyperlink r:id="rId32" w:history="1">
        <w:r w:rsidRPr="000C7C83">
          <w:rPr>
            <w:rFonts w:ascii="Calibri" w:eastAsia="Calibri" w:hAnsi="Calibri" w:cs="Times New Roman"/>
            <w:b/>
            <w:i/>
            <w:color w:val="002060"/>
            <w:sz w:val="24"/>
            <w:szCs w:val="24"/>
            <w:u w:val="single"/>
          </w:rPr>
          <w:t>here</w:t>
        </w:r>
      </w:hyperlink>
      <w:r w:rsidRPr="000C7C83">
        <w:rPr>
          <w:rFonts w:ascii="Calibri" w:eastAsia="Calibri" w:hAnsi="Calibri" w:cs="Times New Roman"/>
          <w:b/>
          <w:i/>
          <w:color w:val="002060"/>
          <w:sz w:val="24"/>
          <w:szCs w:val="24"/>
        </w:rPr>
        <w:t xml:space="preserve">. </w:t>
      </w:r>
    </w:p>
    <w:p w:rsidR="00A52376" w:rsidRPr="00436AD8" w:rsidRDefault="00A52376" w:rsidP="00681ADC">
      <w:pPr>
        <w:pStyle w:val="CCTOCHeading"/>
        <w:rPr>
          <w:rFonts w:asciiTheme="minorHAnsi" w:hAnsiTheme="minorHAnsi" w:cstheme="minorHAnsi"/>
        </w:rPr>
      </w:pPr>
      <w:bookmarkStart w:id="29" w:name="_Toc504562611"/>
      <w:r w:rsidRPr="00436AD8">
        <w:rPr>
          <w:rFonts w:asciiTheme="minorHAnsi" w:hAnsiTheme="minorHAnsi" w:cstheme="minorHAnsi"/>
        </w:rPr>
        <w:t>Other federal action and news</w:t>
      </w:r>
      <w:bookmarkEnd w:id="25"/>
      <w:bookmarkEnd w:id="26"/>
      <w:bookmarkEnd w:id="29"/>
    </w:p>
    <w:p w:rsidR="000C7C83" w:rsidRPr="00012A95" w:rsidRDefault="000C7C83" w:rsidP="00681ADC">
      <w:pPr>
        <w:keepNext/>
        <w:spacing w:before="120" w:after="120"/>
        <w:rPr>
          <w:rFonts w:ascii="Calibri" w:eastAsia="Calibri" w:hAnsi="Calibri" w:cs="Times New Roman"/>
          <w:b/>
          <w:i/>
          <w:color w:val="000000" w:themeColor="text1"/>
          <w:sz w:val="24"/>
          <w:szCs w:val="24"/>
        </w:rPr>
      </w:pPr>
      <w:bookmarkStart w:id="30" w:name="_Toc504138797"/>
      <w:bookmarkEnd w:id="27"/>
      <w:r w:rsidRPr="00C3017B">
        <w:rPr>
          <w:rFonts w:ascii="Calibri" w:eastAsia="Times New Roman" w:hAnsi="Calibri" w:cs="Arial"/>
          <w:b/>
          <w:bCs/>
          <w:i/>
          <w:color w:val="000000" w:themeColor="text1"/>
          <w:sz w:val="24"/>
          <w:szCs w:val="24"/>
        </w:rPr>
        <w:t xml:space="preserve">FTC Releases Annual Privacy and Data Security Update </w:t>
      </w:r>
      <w:r w:rsidRPr="00C3017B">
        <w:rPr>
          <w:rFonts w:ascii="Calibri" w:eastAsia="Calibri" w:hAnsi="Calibri" w:cs="Times New Roman"/>
          <w:b/>
          <w:i/>
          <w:color w:val="000000" w:themeColor="text1"/>
          <w:sz w:val="24"/>
          <w:szCs w:val="24"/>
        </w:rPr>
        <w:t xml:space="preserve">(12.27.2017) </w:t>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 xml:space="preserve">The Federal Trade Commission today released its </w:t>
      </w:r>
      <w:hyperlink r:id="rId33" w:history="1">
        <w:r w:rsidRPr="000C7C83">
          <w:rPr>
            <w:rFonts w:ascii="Calibri" w:eastAsia="Calibri" w:hAnsi="Calibri" w:cs="Arial"/>
            <w:color w:val="0563C1"/>
            <w:sz w:val="24"/>
            <w:szCs w:val="24"/>
            <w:u w:val="single"/>
          </w:rPr>
          <w:t>annual report</w:t>
        </w:r>
      </w:hyperlink>
      <w:r w:rsidRPr="000C7C83">
        <w:rPr>
          <w:rFonts w:ascii="Calibri" w:eastAsia="Calibri" w:hAnsi="Calibri" w:cs="Arial"/>
          <w:color w:val="000000"/>
          <w:sz w:val="24"/>
          <w:szCs w:val="24"/>
        </w:rPr>
        <w:t xml:space="preserve"> summarizing its privacy and data security work in 2017. The Commission is the nation</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s primary privacy and data security enforcer and one of the most active privacy and data security enforcers in the world.</w:t>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The FTC uses a variety of tools to protect consumers</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 privacy and personal information including bringing enforcement actions to stop law violations and require companies to take affirmative steps to remediate the unlawful behavior. Among the FTC</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privacy and security actions announced in 2017 include settlements with computer manufacturer </w:t>
      </w:r>
      <w:r w:rsidRPr="00AB29DF">
        <w:rPr>
          <w:rFonts w:ascii="Calibri" w:eastAsia="Calibri" w:hAnsi="Calibri" w:cs="Arial"/>
          <w:color w:val="000000" w:themeColor="text1"/>
          <w:sz w:val="24"/>
          <w:szCs w:val="24"/>
        </w:rPr>
        <w:t xml:space="preserve">Lenovo </w:t>
      </w:r>
      <w:r w:rsidRPr="000C7C83">
        <w:rPr>
          <w:rFonts w:ascii="Calibri" w:eastAsia="Calibri" w:hAnsi="Calibri" w:cs="Arial"/>
          <w:color w:val="000000"/>
          <w:sz w:val="24"/>
          <w:szCs w:val="24"/>
        </w:rPr>
        <w:t xml:space="preserve">and </w:t>
      </w:r>
      <w:r w:rsidRPr="00AB29DF">
        <w:rPr>
          <w:rFonts w:ascii="Calibri" w:eastAsia="Calibri" w:hAnsi="Calibri" w:cs="Arial"/>
          <w:color w:val="000000" w:themeColor="text1"/>
          <w:sz w:val="24"/>
          <w:szCs w:val="24"/>
        </w:rPr>
        <w:t>Vizio</w:t>
      </w:r>
      <w:r w:rsidRPr="000C7C83">
        <w:rPr>
          <w:rFonts w:ascii="Calibri" w:eastAsia="Calibri" w:hAnsi="Calibri" w:cs="Arial"/>
          <w:color w:val="000000"/>
          <w:sz w:val="24"/>
          <w:szCs w:val="24"/>
        </w:rPr>
        <w:t>, one of the world</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largest makers of smart TVs. In addition, the FTC in 2017 brought its </w:t>
      </w:r>
      <w:r w:rsidRPr="00AB29DF">
        <w:rPr>
          <w:rFonts w:ascii="Calibri" w:eastAsia="Calibri" w:hAnsi="Calibri" w:cs="Arial"/>
          <w:color w:val="000000" w:themeColor="text1"/>
          <w:sz w:val="24"/>
          <w:szCs w:val="24"/>
        </w:rPr>
        <w:t xml:space="preserve">first actions </w:t>
      </w:r>
      <w:r w:rsidRPr="000C7C83">
        <w:rPr>
          <w:rFonts w:ascii="Calibri" w:eastAsia="Calibri" w:hAnsi="Calibri" w:cs="Arial"/>
          <w:color w:val="000000"/>
          <w:sz w:val="24"/>
          <w:szCs w:val="24"/>
        </w:rPr>
        <w:t>enforcing the EU-U.S. Privacy Shield framework.</w:t>
      </w:r>
    </w:p>
    <w:p w:rsidR="000C7C83" w:rsidRPr="000C7C83" w:rsidRDefault="000C7C83" w:rsidP="00001EFA">
      <w:pPr>
        <w:spacing w:before="120" w:after="120"/>
        <w:rPr>
          <w:rFonts w:ascii="Calibri" w:eastAsia="Calibri" w:hAnsi="Calibri" w:cs="Arial"/>
          <w:color w:val="000000"/>
          <w:sz w:val="24"/>
          <w:szCs w:val="24"/>
        </w:rPr>
      </w:pPr>
      <w:r w:rsidRPr="000C7C83">
        <w:rPr>
          <w:rFonts w:ascii="Calibri" w:eastAsia="Calibri" w:hAnsi="Calibri" w:cs="Arial"/>
          <w:color w:val="000000"/>
          <w:sz w:val="24"/>
          <w:szCs w:val="24"/>
        </w:rPr>
        <w:t>The FTC also issues reports, conducts research and holds events bringing together stakeholders to discuss emerging issues in consumer privacy and security. The FTC</w:t>
      </w:r>
      <w:r w:rsidR="00C45A3D">
        <w:rPr>
          <w:rFonts w:ascii="Calibri" w:eastAsia="Calibri" w:hAnsi="Calibri" w:cs="Arial"/>
          <w:color w:val="000000"/>
          <w:sz w:val="24"/>
          <w:szCs w:val="24"/>
        </w:rPr>
        <w:t>’</w:t>
      </w:r>
      <w:r w:rsidRPr="000C7C83">
        <w:rPr>
          <w:rFonts w:ascii="Calibri" w:eastAsia="Calibri" w:hAnsi="Calibri" w:cs="Arial"/>
          <w:color w:val="000000"/>
          <w:sz w:val="24"/>
          <w:szCs w:val="24"/>
        </w:rPr>
        <w:t xml:space="preserve">s 2017 events included workshops examining the security and privacy issues related to </w:t>
      </w:r>
      <w:r w:rsidRPr="00AB29DF">
        <w:rPr>
          <w:rFonts w:ascii="Calibri" w:eastAsia="Calibri" w:hAnsi="Calibri" w:cs="Arial"/>
          <w:color w:val="000000" w:themeColor="text1"/>
          <w:sz w:val="24"/>
          <w:szCs w:val="24"/>
        </w:rPr>
        <w:t>connected cars</w:t>
      </w:r>
      <w:r w:rsidRPr="000C7C83">
        <w:rPr>
          <w:rFonts w:ascii="Calibri" w:eastAsia="Calibri" w:hAnsi="Calibri" w:cs="Arial"/>
          <w:color w:val="000000"/>
          <w:sz w:val="24"/>
          <w:szCs w:val="24"/>
        </w:rPr>
        <w:t xml:space="preserve">, student privacy and </w:t>
      </w:r>
      <w:r w:rsidRPr="00AB29DF">
        <w:rPr>
          <w:rFonts w:ascii="Calibri" w:eastAsia="Calibri" w:hAnsi="Calibri" w:cs="Arial"/>
          <w:color w:val="000000" w:themeColor="text1"/>
          <w:sz w:val="24"/>
          <w:szCs w:val="24"/>
        </w:rPr>
        <w:t>education technology</w:t>
      </w:r>
      <w:r w:rsidRPr="000C7C83">
        <w:rPr>
          <w:rFonts w:ascii="Calibri" w:eastAsia="Calibri" w:hAnsi="Calibri" w:cs="Arial"/>
          <w:color w:val="000000"/>
          <w:sz w:val="24"/>
          <w:szCs w:val="24"/>
        </w:rPr>
        <w:t xml:space="preserve">, the changing nature of </w:t>
      </w:r>
      <w:r w:rsidRPr="00AB29DF">
        <w:rPr>
          <w:rFonts w:ascii="Calibri" w:eastAsia="Calibri" w:hAnsi="Calibri" w:cs="Arial"/>
          <w:color w:val="000000" w:themeColor="text1"/>
          <w:sz w:val="24"/>
          <w:szCs w:val="24"/>
        </w:rPr>
        <w:t>identity theft, and informational injury.</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34"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5F9091FA" wp14:editId="483D066E">
                <wp:extent cx="9525" cy="9525"/>
                <wp:effectExtent l="0" t="0" r="0" b="0"/>
                <wp:docPr id="17"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D061F"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xJxQIAAN0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mq3MSc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7B0F71" w:rsidRPr="007B0F71">
        <w:rPr>
          <w:color w:val="000000"/>
          <w:sz w:val="18"/>
          <w:szCs w:val="18"/>
          <w:shd w:val="clear" w:color="auto" w:fill="FFFFFF"/>
        </w:rPr>
        <w:t xml:space="preserve"> </w:t>
      </w:r>
      <w:r w:rsidR="007B0F71">
        <w:rPr>
          <w:rFonts w:ascii="Calibri" w:eastAsia="Calibri" w:hAnsi="Calibri" w:cs="Times New Roman"/>
          <w:b/>
          <w:i/>
          <w:color w:val="002060"/>
          <w:sz w:val="24"/>
          <w:szCs w:val="24"/>
        </w:rPr>
        <w:t>T</w:t>
      </w:r>
      <w:r w:rsidR="007B0F71" w:rsidRPr="007B0F71">
        <w:rPr>
          <w:rFonts w:ascii="Calibri" w:eastAsia="Calibri" w:hAnsi="Calibri" w:cs="Times New Roman"/>
          <w:b/>
          <w:i/>
          <w:color w:val="002060"/>
          <w:sz w:val="24"/>
          <w:szCs w:val="24"/>
        </w:rPr>
        <w:t>he FTC outlines 10 privacy cases and 4 data security cases that it brought in 2017</w:t>
      </w:r>
      <w:r w:rsidR="00306FF8">
        <w:rPr>
          <w:rFonts w:ascii="Calibri" w:eastAsia="Calibri" w:hAnsi="Calibri" w:cs="Times New Roman"/>
          <w:b/>
          <w:i/>
          <w:color w:val="002060"/>
          <w:sz w:val="24"/>
          <w:szCs w:val="24"/>
        </w:rPr>
        <w:t xml:space="preserve"> and are worth reviewing.</w:t>
      </w:r>
      <w:r w:rsidR="007B0F71" w:rsidRPr="007B0F71">
        <w:rPr>
          <w:rFonts w:ascii="Calibri" w:eastAsia="Calibri" w:hAnsi="Calibri" w:cs="Times New Roman"/>
          <w:b/>
          <w:i/>
          <w:color w:val="002060"/>
          <w:sz w:val="24"/>
          <w:szCs w:val="24"/>
        </w:rPr>
        <w:t xml:space="preserve"> </w:t>
      </w:r>
      <w:r w:rsidR="00141797" w:rsidRPr="00141797">
        <w:rPr>
          <w:rFonts w:ascii="Calibri" w:eastAsia="Calibri" w:hAnsi="Calibri" w:cs="Times New Roman"/>
          <w:b/>
          <w:i/>
          <w:color w:val="002060"/>
          <w:sz w:val="24"/>
          <w:szCs w:val="24"/>
        </w:rPr>
        <w:t>This report should be reviewed by IT and cyber security staff.</w:t>
      </w:r>
    </w:p>
    <w:p w:rsidR="00012A95" w:rsidRPr="00306FF8" w:rsidRDefault="00012A95" w:rsidP="000C7C83">
      <w:pPr>
        <w:spacing w:before="120" w:after="120"/>
        <w:rPr>
          <w:rFonts w:ascii="Calibri" w:eastAsia="Calibri" w:hAnsi="Calibri" w:cs="Times New Roman"/>
          <w:b/>
          <w:i/>
          <w:color w:val="002060"/>
          <w:sz w:val="24"/>
          <w:szCs w:val="24"/>
        </w:rPr>
      </w:pPr>
    </w:p>
    <w:p w:rsidR="000C7C83" w:rsidRPr="000C7C83" w:rsidRDefault="000C7C83" w:rsidP="000C7C83">
      <w:pPr>
        <w:spacing w:before="120" w:after="120"/>
        <w:rPr>
          <w:rFonts w:ascii="Calibri" w:eastAsia="Calibri" w:hAnsi="Calibri" w:cs="Times New Roman"/>
          <w:b/>
          <w:color w:val="595959"/>
          <w:sz w:val="24"/>
          <w:szCs w:val="24"/>
        </w:rPr>
      </w:pPr>
      <w:r w:rsidRPr="00C3017B">
        <w:rPr>
          <w:rFonts w:ascii="Calibri" w:eastAsia="Calibri" w:hAnsi="Calibri" w:cs="Times New Roman"/>
          <w:b/>
          <w:i/>
          <w:color w:val="000000" w:themeColor="text1"/>
          <w:sz w:val="24"/>
          <w:szCs w:val="24"/>
        </w:rPr>
        <w:t>FinCEN Solicitating of Nominations for Membership in Bank Secrecy Act Advisory Group (12.27.2017)</w:t>
      </w:r>
      <w:r w:rsidRPr="00C3017B">
        <w:rPr>
          <w:rFonts w:ascii="Calibri" w:eastAsia="Calibri" w:hAnsi="Calibri" w:cs="Times New Roman"/>
          <w:b/>
          <w:color w:val="000000" w:themeColor="text1"/>
          <w:sz w:val="24"/>
          <w:szCs w:val="24"/>
        </w:rPr>
        <w:t xml:space="preserve"> </w:t>
      </w:r>
      <w:r w:rsidRPr="000C7C83">
        <w:rPr>
          <w:rFonts w:ascii="Calibri" w:eastAsia="Calibri" w:hAnsi="Calibri" w:cs="Times New Roman"/>
          <w:b/>
          <w:noProof/>
          <w:color w:val="595959"/>
          <w:sz w:val="24"/>
          <w:szCs w:val="24"/>
        </w:rPr>
        <w:drawing>
          <wp:inline distT="0" distB="0" distL="0" distR="0" wp14:anchorId="682C75F0" wp14:editId="0CB55913">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FinCEN is inviting the public to nominate financial institutions, trade groups, and non-federal regulators or law enforcement agencies for membership on the Bank Secrecy Act Advisory Group. New members will be selected for three-year membership</w:t>
      </w:r>
    </w:p>
    <w:p w:rsidR="000C7C83" w:rsidRPr="000C7C83" w:rsidRDefault="000C7C83" w:rsidP="000C7C83">
      <w:pPr>
        <w:spacing w:before="120" w:after="120"/>
        <w:rPr>
          <w:rFonts w:ascii="Calibri" w:eastAsia="Calibri" w:hAnsi="Calibri" w:cs="Times New Roman"/>
          <w:sz w:val="24"/>
          <w:szCs w:val="24"/>
        </w:rPr>
      </w:pPr>
      <w:r w:rsidRPr="000C7C83">
        <w:rPr>
          <w:rFonts w:ascii="Calibri" w:eastAsia="Calibri" w:hAnsi="Calibri" w:cs="Times New Roman"/>
          <w:sz w:val="24"/>
          <w:szCs w:val="24"/>
        </w:rPr>
        <w:t>BSAAG membership is open to financial institutions, trade groups, and non-federal regulators and law enforcement agencies. Membership is granted to organizations, not to individuals. Organizational members will be selected to serve a three-year term and must designate one individual to represent that member at plenary meetings. The designated representative should be knowledgeable about Bank Secrecy Act requirements and must be able and willing to make the necessary time commitment to participate on committees throughout the year by phone and attend biannual plenary meetings held in Washington, DC in May and October.</w:t>
      </w:r>
    </w:p>
    <w:p w:rsidR="000C7C83" w:rsidRPr="000C7C83" w:rsidRDefault="000C7C83" w:rsidP="000C7C83">
      <w:pPr>
        <w:spacing w:before="120" w:after="120"/>
        <w:rPr>
          <w:rFonts w:ascii="Calibri" w:eastAsia="Calibri" w:hAnsi="Calibri" w:cs="Times New Roman"/>
          <w:sz w:val="24"/>
          <w:szCs w:val="24"/>
          <w:u w:val="single"/>
        </w:rPr>
      </w:pPr>
      <w:r w:rsidRPr="000C7C83">
        <w:rPr>
          <w:rFonts w:ascii="Calibri" w:eastAsia="Calibri" w:hAnsi="Calibri" w:cs="Times New Roman"/>
          <w:sz w:val="24"/>
          <w:szCs w:val="24"/>
          <w:u w:val="single"/>
        </w:rPr>
        <w:t>Nominations must be received by January 26, 2018.</w:t>
      </w:r>
    </w:p>
    <w:p w:rsidR="000C7C83" w:rsidRPr="000C7C83" w:rsidRDefault="000C7C83" w:rsidP="00001EFA">
      <w:pPr>
        <w:spacing w:before="120" w:after="120"/>
        <w:rPr>
          <w:rFonts w:ascii="Calibri" w:eastAsia="Calibri" w:hAnsi="Calibri" w:cs="Times New Roman"/>
          <w:b/>
          <w:sz w:val="24"/>
          <w:szCs w:val="24"/>
        </w:rPr>
      </w:pPr>
      <w:bookmarkStart w:id="31" w:name="_Hlk504472258"/>
      <w:r w:rsidRPr="000C7C83">
        <w:rPr>
          <w:rFonts w:ascii="Calibri" w:eastAsia="Calibri" w:hAnsi="Calibri" w:cs="Times New Roman"/>
          <w:b/>
          <w:sz w:val="24"/>
          <w:szCs w:val="24"/>
        </w:rPr>
        <w:t xml:space="preserve">Source </w:t>
      </w:r>
      <w:hyperlink r:id="rId35"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2426DC0F" wp14:editId="01D50119">
                <wp:extent cx="9525" cy="9525"/>
                <wp:effectExtent l="0" t="0" r="0" b="0"/>
                <wp:docPr id="3"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15949"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JHP5YPGAgAA3AUAAA4AAAAAAAAAAAAAAAAALgIAAGRycy9lMm9Eb2MueG1sUEsBAi0AFAAGAAgA&#10;AAAhANQI2TfYAAAAAQEAAA8AAAAAAAAAAAAAAAAAIAUAAGRycy9kb3ducmV2LnhtbFBLBQYAAAAA&#10;BAAEAPMAAAAlBgAAAAA=&#10;" filled="f" stroked="f">
                <o:lock v:ext="edit" aspectratio="t"/>
                <w10:anchorlock/>
              </v:rect>
            </w:pict>
          </mc:Fallback>
        </mc:AlternateContent>
      </w:r>
      <w:r w:rsidR="00306FF8">
        <w:rPr>
          <w:rFonts w:ascii="Calibri" w:eastAsia="Calibri" w:hAnsi="Calibri" w:cs="Times New Roman"/>
          <w:b/>
          <w:i/>
          <w:color w:val="002060"/>
          <w:sz w:val="24"/>
          <w:szCs w:val="24"/>
        </w:rPr>
        <w:t xml:space="preserve">It is very important for community bankers to have a place on the </w:t>
      </w:r>
      <w:bookmarkStart w:id="32" w:name="_Hlk504550574"/>
      <w:r w:rsidR="00306FF8">
        <w:rPr>
          <w:rFonts w:ascii="Calibri" w:eastAsia="Calibri" w:hAnsi="Calibri" w:cs="Times New Roman"/>
          <w:b/>
          <w:i/>
          <w:color w:val="002060"/>
          <w:sz w:val="24"/>
          <w:szCs w:val="24"/>
        </w:rPr>
        <w:t>Bank Secrecy Act Advisory Group</w:t>
      </w:r>
      <w:bookmarkEnd w:id="32"/>
      <w:r w:rsidR="00306FF8">
        <w:rPr>
          <w:rFonts w:ascii="Calibri" w:eastAsia="Calibri" w:hAnsi="Calibri" w:cs="Times New Roman"/>
          <w:b/>
          <w:i/>
          <w:color w:val="002060"/>
          <w:sz w:val="24"/>
          <w:szCs w:val="24"/>
        </w:rPr>
        <w:t xml:space="preserve">. </w:t>
      </w:r>
    </w:p>
    <w:p w:rsidR="005D42FA" w:rsidRPr="00436AD8" w:rsidRDefault="00A52376" w:rsidP="005D42FA">
      <w:pPr>
        <w:pStyle w:val="CCTOCHeading"/>
        <w:rPr>
          <w:rFonts w:asciiTheme="minorHAnsi" w:hAnsiTheme="minorHAnsi" w:cstheme="minorHAnsi"/>
        </w:rPr>
      </w:pPr>
      <w:bookmarkStart w:id="33" w:name="_Toc409519099"/>
      <w:bookmarkStart w:id="34" w:name="_Toc504138798"/>
      <w:bookmarkStart w:id="35" w:name="_Toc504562613"/>
      <w:bookmarkEnd w:id="30"/>
      <w:bookmarkEnd w:id="31"/>
      <w:r w:rsidRPr="00436AD8">
        <w:rPr>
          <w:rFonts w:asciiTheme="minorHAnsi" w:hAnsiTheme="minorHAnsi" w:cstheme="minorHAnsi"/>
        </w:rPr>
        <w:t>Publications, articles, reports, studies, testimony &amp; speeches</w:t>
      </w:r>
      <w:bookmarkEnd w:id="33"/>
      <w:bookmarkEnd w:id="34"/>
      <w:bookmarkEnd w:id="35"/>
    </w:p>
    <w:p w:rsidR="000C7C83" w:rsidRPr="00C3017B" w:rsidRDefault="000C7C83" w:rsidP="000C7C83">
      <w:pPr>
        <w:rPr>
          <w:rFonts w:ascii="Calibri" w:eastAsia="Calibri" w:hAnsi="Calibri" w:cs="Times New Roman"/>
          <w:b/>
          <w:i/>
          <w:color w:val="000000" w:themeColor="text1"/>
          <w:sz w:val="24"/>
          <w:szCs w:val="24"/>
        </w:rPr>
      </w:pPr>
      <w:bookmarkStart w:id="36" w:name="_Hlk504379111"/>
      <w:bookmarkStart w:id="37" w:name="_Toc504138799"/>
      <w:r w:rsidRPr="00C3017B">
        <w:rPr>
          <w:rFonts w:ascii="Calibri" w:eastAsia="Calibri" w:hAnsi="Calibri" w:cs="Times New Roman"/>
          <w:b/>
          <w:i/>
          <w:color w:val="000000" w:themeColor="text1"/>
          <w:sz w:val="24"/>
          <w:szCs w:val="24"/>
        </w:rPr>
        <w:t xml:space="preserve">From Income to Consumption Inequality? Looking through the </w:t>
      </w:r>
      <w:r w:rsidR="00C3017B">
        <w:rPr>
          <w:rFonts w:ascii="Calibri" w:eastAsia="Calibri" w:hAnsi="Calibri" w:cs="Times New Roman"/>
          <w:b/>
          <w:i/>
          <w:color w:val="000000" w:themeColor="text1"/>
          <w:sz w:val="24"/>
          <w:szCs w:val="24"/>
        </w:rPr>
        <w:t>Lens of Motor Vehicle Purchases</w:t>
      </w:r>
      <w:r w:rsidRPr="00C3017B">
        <w:rPr>
          <w:rFonts w:ascii="Calibri" w:eastAsia="Calibri" w:hAnsi="Calibri" w:cs="Times New Roman"/>
          <w:b/>
          <w:i/>
          <w:color w:val="000000" w:themeColor="text1"/>
          <w:sz w:val="24"/>
          <w:szCs w:val="24"/>
        </w:rPr>
        <w:t xml:space="preserve"> (01.12.2018) </w:t>
      </w:r>
    </w:p>
    <w:p w:rsidR="000C7C83" w:rsidRPr="00C45A3D" w:rsidRDefault="000C7C83" w:rsidP="00C45A3D">
      <w:pPr>
        <w:spacing w:before="120" w:after="120" w:line="259" w:lineRule="auto"/>
        <w:rPr>
          <w:rFonts w:eastAsia="Calibri" w:cstheme="minorHAnsi"/>
          <w:sz w:val="24"/>
          <w:szCs w:val="24"/>
          <w:lang w:val="en"/>
        </w:rPr>
      </w:pPr>
      <w:r w:rsidRPr="00C45A3D">
        <w:rPr>
          <w:rFonts w:eastAsia="Calibri" w:cstheme="minorHAnsi"/>
          <w:sz w:val="24"/>
          <w:szCs w:val="24"/>
          <w:lang w:val="en"/>
        </w:rPr>
        <w:lastRenderedPageBreak/>
        <w:t>Rising income inequality in the United States over the past several decades has been well documented in the economics literature.</w:t>
      </w:r>
      <w:hyperlink r:id="rId36" w:anchor="fn2" w:tooltip="footnote 2" w:history="1">
        <w:r w:rsidRPr="00C45A3D">
          <w:rPr>
            <w:rFonts w:eastAsia="Calibri" w:cstheme="minorHAnsi"/>
            <w:sz w:val="24"/>
            <w:szCs w:val="24"/>
            <w:u w:val="single"/>
            <w:vertAlign w:val="superscript"/>
            <w:lang w:val="en"/>
          </w:rPr>
          <w:t>2</w:t>
        </w:r>
      </w:hyperlink>
      <w:bookmarkStart w:id="38" w:name="f2"/>
      <w:bookmarkEnd w:id="38"/>
      <w:r w:rsidRPr="00C45A3D">
        <w:rPr>
          <w:rFonts w:eastAsia="Calibri" w:cstheme="minorHAnsi"/>
          <w:sz w:val="24"/>
          <w:szCs w:val="24"/>
          <w:lang w:val="en"/>
        </w:rPr>
        <w:t xml:space="preserve"> Recent studies have also looked at the dispersion in consumption, since it more accurately captures disparities in economic well-being. Here, however, the findings are mixed--while some authors find the dispersion in consumption has risen more slowly than that for income, others conclude that consumption inequality has closely followed the upward trends in income inequality.</w:t>
      </w:r>
      <w:hyperlink r:id="rId37" w:anchor="fn3" w:tooltip="footnote 3" w:history="1">
        <w:r w:rsidRPr="00C45A3D">
          <w:rPr>
            <w:rFonts w:eastAsia="Calibri" w:cstheme="minorHAnsi"/>
            <w:sz w:val="24"/>
            <w:szCs w:val="24"/>
            <w:u w:val="single"/>
            <w:vertAlign w:val="superscript"/>
            <w:lang w:val="en"/>
          </w:rPr>
          <w:t>3</w:t>
        </w:r>
      </w:hyperlink>
      <w:bookmarkStart w:id="39" w:name="f3"/>
      <w:bookmarkEnd w:id="39"/>
      <w:r w:rsidRPr="00C45A3D">
        <w:rPr>
          <w:rFonts w:eastAsia="Calibri" w:cstheme="minorHAnsi"/>
          <w:sz w:val="24"/>
          <w:szCs w:val="24"/>
          <w:lang w:val="en"/>
        </w:rPr>
        <w:t xml:space="preserve"> In this note, we assess the pattern of consumption inequality using an alternative data source--namely, new motor vehicle purchases. In short, when viewed from the lens of these direct spending data, we find little evidence that consumption inequality has risen as dramatically as income inequality over the past 15 years.</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38"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113146">
      <w:pPr>
        <w:spacing w:after="16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63B44D21" wp14:editId="16FFCD86">
                <wp:extent cx="9525" cy="9525"/>
                <wp:effectExtent l="0" t="0" r="0" b="0"/>
                <wp:docPr id="18"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14041"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391J/8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113146">
        <w:rPr>
          <w:rFonts w:ascii="Calibri" w:eastAsia="Calibri" w:hAnsi="Calibri" w:cs="Times New Roman"/>
          <w:b/>
          <w:i/>
          <w:color w:val="002060"/>
          <w:sz w:val="24"/>
          <w:szCs w:val="24"/>
        </w:rPr>
        <w:t>This is a very interesting report on income inequality. The report uses an unorthodox and innovative approach in analyzing new car sales data to explore income inequality across the country.</w:t>
      </w:r>
    </w:p>
    <w:p w:rsidR="000C7C83" w:rsidRPr="000C7C83" w:rsidRDefault="000C7C83" w:rsidP="000C7C83">
      <w:pPr>
        <w:spacing w:after="160" w:line="259" w:lineRule="auto"/>
        <w:rPr>
          <w:rFonts w:ascii="Calibri" w:eastAsia="Calibri" w:hAnsi="Calibri" w:cs="Times New Roman"/>
          <w:b/>
          <w:i/>
          <w:color w:val="002060"/>
          <w:sz w:val="24"/>
          <w:szCs w:val="24"/>
        </w:rPr>
      </w:pPr>
    </w:p>
    <w:p w:rsidR="000C7C83" w:rsidRPr="00012A95" w:rsidRDefault="000C7C83" w:rsidP="00012A95">
      <w:pPr>
        <w:spacing w:before="120" w:after="120"/>
        <w:rPr>
          <w:rFonts w:ascii="Calibri" w:eastAsia="Calibri" w:hAnsi="Calibri" w:cs="Times New Roman"/>
          <w:b/>
          <w:i/>
          <w:color w:val="000000" w:themeColor="text1"/>
          <w:sz w:val="24"/>
          <w:szCs w:val="24"/>
        </w:rPr>
      </w:pPr>
      <w:r w:rsidRPr="00C3017B">
        <w:rPr>
          <w:rFonts w:ascii="Calibri" w:eastAsia="Calibri" w:hAnsi="Calibri" w:cs="Times New Roman"/>
          <w:b/>
          <w:i/>
          <w:color w:val="000000" w:themeColor="text1"/>
          <w:sz w:val="24"/>
          <w:szCs w:val="24"/>
        </w:rPr>
        <w:t>Chicago Fed - What Explains the Decline in Life Insurance Ownership?</w:t>
      </w:r>
      <w:r w:rsidR="00113146">
        <w:rPr>
          <w:rFonts w:ascii="Calibri" w:eastAsia="Calibri" w:hAnsi="Calibri" w:cs="Times New Roman"/>
          <w:b/>
          <w:i/>
          <w:color w:val="000000" w:themeColor="text1"/>
          <w:sz w:val="24"/>
          <w:szCs w:val="24"/>
        </w:rPr>
        <w:t xml:space="preserve"> </w:t>
      </w:r>
      <w:r w:rsidRPr="00C3017B">
        <w:rPr>
          <w:rFonts w:ascii="Calibri" w:eastAsia="Calibri" w:hAnsi="Calibri" w:cs="Times New Roman"/>
          <w:b/>
          <w:i/>
          <w:color w:val="000000" w:themeColor="text1"/>
          <w:sz w:val="24"/>
          <w:szCs w:val="24"/>
        </w:rPr>
        <w:t xml:space="preserve">(01.8.2018) </w:t>
      </w:r>
    </w:p>
    <w:p w:rsidR="000C7C83" w:rsidRPr="00C45A3D" w:rsidRDefault="000C7C83" w:rsidP="00C45A3D">
      <w:pPr>
        <w:spacing w:before="120" w:after="120"/>
        <w:rPr>
          <w:rFonts w:ascii="Calibri" w:eastAsia="Times New Roman" w:hAnsi="Calibri" w:cs="Arial"/>
          <w:sz w:val="24"/>
          <w:szCs w:val="24"/>
          <w:lang w:val="en"/>
        </w:rPr>
      </w:pPr>
      <w:r w:rsidRPr="00C45A3D">
        <w:rPr>
          <w:rFonts w:ascii="Calibri" w:eastAsia="Times New Roman" w:hAnsi="Calibri" w:cs="Arial"/>
          <w:sz w:val="24"/>
          <w:szCs w:val="24"/>
          <w:lang w:val="en"/>
        </w:rPr>
        <w:t>Life insurance ownership has declined markedly over the past 30 years, continuing a trend that began as early as 1960. In 1989, 77 percent of households owned life insurance (see figure 1). By 2013, that share had fallen to 60 percent. This article analyzes factors that might have contributed to the decline in life insurance ownership from 1989 to 2013. The focus of our analysis is on two broad sources of potential change in the demand for life insurance: changes in the socioeconomic and demographic characteristics of the population and changes in how those same characteristics are associated with the decision to purchase life insurance. In addition, we highlight the considerable diversity in life insurance ownership across education, income, and race and ethnicity and describe how trends in life insurance ownership vary across these groups.</w:t>
      </w:r>
    </w:p>
    <w:p w:rsidR="000C7C83" w:rsidRPr="00C45A3D" w:rsidRDefault="000C7C83" w:rsidP="00C45A3D">
      <w:pPr>
        <w:spacing w:before="120" w:after="120"/>
        <w:rPr>
          <w:rFonts w:ascii="Calibri" w:eastAsia="Times New Roman" w:hAnsi="Calibri" w:cs="Arial"/>
          <w:sz w:val="24"/>
          <w:szCs w:val="24"/>
          <w:lang w:val="en"/>
        </w:rPr>
      </w:pPr>
      <w:r w:rsidRPr="00C45A3D">
        <w:rPr>
          <w:rFonts w:ascii="Calibri" w:eastAsia="Times New Roman" w:hAnsi="Calibri" w:cs="Arial"/>
          <w:sz w:val="24"/>
          <w:szCs w:val="24"/>
          <w:lang w:val="en"/>
        </w:rPr>
        <w:t xml:space="preserve">Life insurance protects families from adverse financial consequences when a policyholder dies. In addition, some life insurance policies facilitate tax-advantaged savings. According to a 2015 LIMRA survey (see table 1), the top three reasons for purchasing life insurance are to cover funeral expenses (51 percent), to replace lost income (34 percent), and to cover mortgage debt (26 percent). Transferring wealth to the next generation is a close fourth, with 24 percent of respondents reporting that this was a major reason for purchasing life insurance. </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39"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CB3AB0" w:rsidRPr="000C7C83" w:rsidRDefault="00CB3AB0" w:rsidP="00012A95">
      <w:pPr>
        <w:spacing w:after="160"/>
        <w:rPr>
          <w:rFonts w:ascii="Calibri" w:eastAsia="Calibri" w:hAnsi="Calibri" w:cs="Times New Roman"/>
          <w:b/>
          <w:color w:val="595959"/>
          <w:sz w:val="24"/>
          <w:szCs w:val="24"/>
        </w:rPr>
      </w:pPr>
    </w:p>
    <w:p w:rsidR="000C7C83" w:rsidRPr="00012A95" w:rsidRDefault="000C7C83" w:rsidP="00012A95">
      <w:pPr>
        <w:spacing w:before="120" w:after="120"/>
        <w:rPr>
          <w:rFonts w:ascii="Calibri" w:eastAsia="Calibri" w:hAnsi="Calibri" w:cs="Times New Roman"/>
          <w:b/>
          <w:i/>
          <w:color w:val="000000" w:themeColor="text1"/>
          <w:sz w:val="24"/>
          <w:szCs w:val="24"/>
        </w:rPr>
      </w:pPr>
      <w:r w:rsidRPr="00C3017B">
        <w:rPr>
          <w:rFonts w:ascii="Calibri" w:eastAsia="Calibri" w:hAnsi="Calibri" w:cs="Times New Roman"/>
          <w:b/>
          <w:i/>
          <w:color w:val="000000" w:themeColor="text1"/>
          <w:sz w:val="24"/>
          <w:szCs w:val="24"/>
        </w:rPr>
        <w:t xml:space="preserve">FRB New Evidence on an Old Unanswered Question: Why Some Borrowers Purchase Credit Insurance and Other Debt Protection and Some Do Not (12.18.2017) </w:t>
      </w:r>
    </w:p>
    <w:p w:rsidR="000C7C83" w:rsidRPr="000C7C83" w:rsidRDefault="000C7C83" w:rsidP="000C7C83">
      <w:pPr>
        <w:autoSpaceDE w:val="0"/>
        <w:autoSpaceDN w:val="0"/>
        <w:adjustRightInd w:val="0"/>
        <w:rPr>
          <w:rFonts w:ascii="Calibri" w:eastAsia="Calibri" w:hAnsi="Calibri" w:cs="Courier New"/>
          <w:sz w:val="24"/>
          <w:szCs w:val="24"/>
        </w:rPr>
      </w:pPr>
      <w:r w:rsidRPr="000C7C83">
        <w:rPr>
          <w:rFonts w:ascii="Calibri" w:eastAsia="Calibri" w:hAnsi="Calibri" w:cs="Courier New"/>
          <w:sz w:val="24"/>
          <w:szCs w:val="24"/>
        </w:rPr>
        <w:t>Credit related insurance and other debt protection are products sold in conjunction with credit that extinguish a consumer</w:t>
      </w:r>
      <w:r w:rsidR="00C45A3D">
        <w:rPr>
          <w:rFonts w:ascii="Calibri" w:eastAsia="Calibri" w:hAnsi="Calibri" w:cs="Courier New"/>
          <w:sz w:val="24"/>
          <w:szCs w:val="24"/>
        </w:rPr>
        <w:t>’</w:t>
      </w:r>
      <w:r w:rsidRPr="000C7C83">
        <w:rPr>
          <w:rFonts w:ascii="Calibri" w:eastAsia="Calibri" w:hAnsi="Calibri" w:cs="Courier New"/>
          <w:sz w:val="24"/>
          <w:szCs w:val="24"/>
        </w:rPr>
        <w:t>s debt or suspends its periodic payments if events like death, disability, or involuntary unemployment occur. High penetration rates observed in the 1950s and 1960s raised concerns about coercion in the sale of credit insurance. This study presents evidence on credit insurance purchase and debt protection decisions from a new survey. The findings provide little evidence of widespread or systematic coercion in purchases. Instead, findings suggest that risk aversion and health or financial concerns motivate consumers to purchase credit insurance and debt protection, just as these concerns also motivate purchases of other types of insurance.</w:t>
      </w:r>
    </w:p>
    <w:p w:rsidR="000C7C83" w:rsidRPr="000C7C83" w:rsidRDefault="000C7C83" w:rsidP="00001EFA">
      <w:pPr>
        <w:spacing w:before="120" w:after="120"/>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40"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0C7C83" w:rsidRPr="000C7C83" w:rsidRDefault="000C7C83" w:rsidP="000C7C83">
      <w:pPr>
        <w:spacing w:after="160" w:line="259" w:lineRule="auto"/>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color w:val="002060"/>
          <w:sz w:val="24"/>
          <w:szCs w:val="24"/>
        </w:rPr>
        <mc:AlternateContent>
          <mc:Choice Requires="wps">
            <w:drawing>
              <wp:inline distT="0" distB="0" distL="0" distR="0" wp14:anchorId="44420B56" wp14:editId="34B9C273">
                <wp:extent cx="9525" cy="9525"/>
                <wp:effectExtent l="0" t="0" r="0" b="0"/>
                <wp:docPr id="7"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CB6BC"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mfxgIAANw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Hi9qZ/GAgAA3AUAAA4AAAAAAAAAAAAAAAAALgIAAGRycy9lMm9Eb2MueG1sUEsBAi0AFAAGAAgA&#10;AAAhANQI2TfYAAAAAQEAAA8AAAAAAAAAAAAAAAAAIAUAAGRycy9kb3ducmV2LnhtbFBLBQYAAAAA&#10;BAAEAPMAAAAlBgAAAAA=&#10;" filled="f" stroked="f">
                <o:lock v:ext="edit" aspectratio="t"/>
                <w10:anchorlock/>
              </v:rect>
            </w:pict>
          </mc:Fallback>
        </mc:AlternateContent>
      </w:r>
      <w:r w:rsidR="00FD5A57" w:rsidRPr="00FD5A57">
        <w:rPr>
          <w:rFonts w:ascii="Calibri" w:eastAsia="Calibri" w:hAnsi="Calibri" w:cs="Times New Roman"/>
          <w:b/>
          <w:i/>
          <w:color w:val="002060"/>
          <w:sz w:val="24"/>
          <w:szCs w:val="24"/>
        </w:rPr>
        <w:t>Bottom line—consumers purchase these products because they fill a perceived need for them!</w:t>
      </w:r>
    </w:p>
    <w:p w:rsidR="000C7C83" w:rsidRPr="000C7C83" w:rsidRDefault="000C7C83" w:rsidP="000C7C83">
      <w:pPr>
        <w:spacing w:after="160" w:line="259" w:lineRule="auto"/>
        <w:rPr>
          <w:rFonts w:ascii="Calibri" w:eastAsia="Calibri" w:hAnsi="Calibri" w:cs="Times New Roman"/>
          <w:color w:val="002060"/>
          <w:sz w:val="24"/>
          <w:szCs w:val="24"/>
        </w:rPr>
      </w:pPr>
      <w:bookmarkStart w:id="40" w:name="_Hlk504380573"/>
      <w:bookmarkEnd w:id="36"/>
    </w:p>
    <w:bookmarkEnd w:id="40"/>
    <w:p w:rsidR="00995206" w:rsidRPr="00012A95" w:rsidRDefault="000C7C83" w:rsidP="00681ADC">
      <w:pPr>
        <w:keepNext/>
        <w:spacing w:before="120" w:after="120"/>
        <w:rPr>
          <w:rFonts w:ascii="Calibri" w:eastAsia="Calibri" w:hAnsi="Calibri" w:cs="Times New Roman"/>
          <w:b/>
          <w:bCs/>
          <w:i/>
          <w:color w:val="000000" w:themeColor="text1"/>
          <w:sz w:val="24"/>
          <w:szCs w:val="24"/>
        </w:rPr>
      </w:pPr>
      <w:r w:rsidRPr="00C3017B">
        <w:rPr>
          <w:rFonts w:ascii="Calibri" w:eastAsia="Calibri" w:hAnsi="Calibri" w:cs="Times New Roman"/>
          <w:b/>
          <w:bCs/>
          <w:i/>
          <w:color w:val="000000" w:themeColor="text1"/>
          <w:sz w:val="24"/>
          <w:szCs w:val="24"/>
        </w:rPr>
        <w:t xml:space="preserve">Chicago Fed National Activity Index Market Points to Moderate Growth </w:t>
      </w:r>
      <w:r w:rsidRPr="00C3017B">
        <w:rPr>
          <w:rFonts w:ascii="Calibri" w:eastAsia="Calibri" w:hAnsi="Calibri" w:cs="Times New Roman"/>
          <w:b/>
          <w:i/>
          <w:color w:val="000000" w:themeColor="text1"/>
          <w:sz w:val="24"/>
          <w:szCs w:val="24"/>
        </w:rPr>
        <w:t xml:space="preserve">(12.21.2017) </w:t>
      </w:r>
    </w:p>
    <w:p w:rsidR="000C7C83" w:rsidRPr="000C7C83" w:rsidRDefault="000C7C83" w:rsidP="000C7C83">
      <w:pPr>
        <w:autoSpaceDE w:val="0"/>
        <w:autoSpaceDN w:val="0"/>
        <w:adjustRightInd w:val="0"/>
        <w:rPr>
          <w:rFonts w:ascii="Calibri" w:eastAsia="Calibri" w:hAnsi="Calibri" w:cs="Courier New"/>
          <w:iCs/>
          <w:sz w:val="24"/>
          <w:szCs w:val="24"/>
        </w:rPr>
      </w:pPr>
      <w:r w:rsidRPr="000C7C83">
        <w:rPr>
          <w:rFonts w:ascii="Calibri" w:eastAsia="Calibri" w:hAnsi="Calibri" w:cs="Courier New"/>
          <w:iCs/>
          <w:sz w:val="24"/>
          <w:szCs w:val="24"/>
        </w:rPr>
        <w:t>Led by slower growth in production-related indicators, the Chicago Fed National Activity Index (CFNAI) declined to +0.15 in November from +0.76 in October. Two of the four broad categories of indicators that make up the index decreased from October, but three of the four categories made positive contributions to the index in November. The index</w:t>
      </w:r>
      <w:r w:rsidR="00C45A3D">
        <w:rPr>
          <w:rFonts w:ascii="Calibri" w:eastAsia="Calibri" w:hAnsi="Calibri" w:cs="Courier New"/>
          <w:iCs/>
          <w:sz w:val="24"/>
          <w:szCs w:val="24"/>
        </w:rPr>
        <w:t>’</w:t>
      </w:r>
      <w:r w:rsidRPr="000C7C83">
        <w:rPr>
          <w:rFonts w:ascii="Calibri" w:eastAsia="Calibri" w:hAnsi="Calibri" w:cs="Courier New"/>
          <w:iCs/>
          <w:sz w:val="24"/>
          <w:szCs w:val="24"/>
        </w:rPr>
        <w:t>s three-month moving average, CFNAI-MA3, increased to +0.41 in November from +0.31 in October.</w:t>
      </w:r>
    </w:p>
    <w:p w:rsidR="000C7C83" w:rsidRPr="000C7C83" w:rsidRDefault="000C7C83" w:rsidP="00001EFA">
      <w:pPr>
        <w:spacing w:before="120" w:after="120" w:line="259" w:lineRule="auto"/>
        <w:rPr>
          <w:rFonts w:ascii="Calibri" w:eastAsia="Calibri" w:hAnsi="Calibri" w:cs="Times New Roman"/>
          <w:b/>
          <w:sz w:val="24"/>
          <w:szCs w:val="24"/>
        </w:rPr>
      </w:pPr>
      <w:r w:rsidRPr="000C7C83">
        <w:rPr>
          <w:rFonts w:ascii="Calibri" w:eastAsia="Calibri" w:hAnsi="Calibri" w:cs="Times New Roman"/>
          <w:b/>
          <w:sz w:val="24"/>
          <w:szCs w:val="24"/>
        </w:rPr>
        <w:t xml:space="preserve">Source </w:t>
      </w:r>
      <w:hyperlink r:id="rId41" w:history="1">
        <w:r w:rsidRPr="000C7C83">
          <w:rPr>
            <w:rFonts w:ascii="Calibri" w:eastAsia="Calibri" w:hAnsi="Calibri" w:cs="Times New Roman"/>
            <w:b/>
            <w:color w:val="0563C1"/>
            <w:sz w:val="24"/>
            <w:szCs w:val="24"/>
            <w:u w:val="single"/>
          </w:rPr>
          <w:t>link</w:t>
        </w:r>
      </w:hyperlink>
      <w:r w:rsidRPr="000C7C83">
        <w:rPr>
          <w:rFonts w:ascii="Calibri" w:eastAsia="Calibri" w:hAnsi="Calibri" w:cs="Times New Roman"/>
          <w:b/>
          <w:sz w:val="24"/>
          <w:szCs w:val="24"/>
        </w:rPr>
        <w:t xml:space="preserve">. </w:t>
      </w:r>
    </w:p>
    <w:p w:rsidR="00FC00EF" w:rsidRPr="00436AD8" w:rsidRDefault="00FC00EF" w:rsidP="0036440E">
      <w:pPr>
        <w:pStyle w:val="CCTOCHeading"/>
        <w:rPr>
          <w:rFonts w:asciiTheme="minorHAnsi" w:hAnsiTheme="minorHAnsi" w:cstheme="minorHAnsi"/>
        </w:rPr>
      </w:pPr>
      <w:bookmarkStart w:id="41" w:name="_Toc504562614"/>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proposed</w:t>
      </w:r>
      <w:bookmarkEnd w:id="0"/>
      <w:bookmarkEnd w:id="37"/>
      <w:bookmarkEnd w:id="41"/>
    </w:p>
    <w:p w:rsidR="00FC00EF" w:rsidRPr="00436AD8" w:rsidRDefault="00FC00EF" w:rsidP="0036440E">
      <w:pPr>
        <w:pStyle w:val="CCIssuance"/>
        <w:rPr>
          <w:rFonts w:asciiTheme="minorHAnsi" w:hAnsiTheme="minorHAnsi" w:cstheme="minorHAnsi"/>
          <w:b w:val="0"/>
          <w:color w:val="auto"/>
          <w:sz w:val="22"/>
          <w:szCs w:val="22"/>
        </w:rPr>
      </w:pPr>
      <w:r w:rsidRPr="00436AD8">
        <w:rPr>
          <w:rFonts w:asciiTheme="minorHAnsi" w:hAnsiTheme="minorHAnsi" w:cstheme="minorHAnsi"/>
          <w:b w:val="0"/>
          <w:color w:val="auto"/>
          <w:sz w:val="22"/>
          <w:szCs w:val="22"/>
        </w:rPr>
        <w:t>Proposed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rules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are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included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only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when</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community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banks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want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to</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comment.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posted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not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same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Federal</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Register</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p>
    <w:p w:rsidR="00FC00EF" w:rsidRPr="00E36FF6" w:rsidRDefault="00FC00EF" w:rsidP="0036440E">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rsidR="00FC00EF" w:rsidRPr="00E36FF6" w:rsidRDefault="00FC00EF" w:rsidP="0036440E">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OF</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PROPOSED</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RULE</w:t>
      </w:r>
    </w:p>
    <w:p w:rsidR="00FC00EF" w:rsidRPr="00E36FF6" w:rsidRDefault="00FC00EF" w:rsidP="0036440E">
      <w:pPr>
        <w:pStyle w:val="CCComment"/>
        <w:keepNext/>
        <w:ind w:left="1440" w:hanging="1440"/>
        <w:rPr>
          <w:rFonts w:asciiTheme="minorHAnsi" w:eastAsia="Times New Roman" w:hAnsiTheme="minorHAnsi" w:cstheme="minorHAnsi"/>
          <w:i w:val="0"/>
          <w:color w:val="auto"/>
          <w:sz w:val="18"/>
          <w:szCs w:val="18"/>
        </w:rPr>
      </w:pPr>
    </w:p>
    <w:p w:rsidR="007557D9" w:rsidRPr="00E36FF6" w:rsidRDefault="007557D9" w:rsidP="008D347F">
      <w:pPr>
        <w:autoSpaceDE w:val="0"/>
        <w:autoSpaceDN w:val="0"/>
        <w:adjustRightInd w:val="0"/>
        <w:ind w:left="1440" w:hanging="1440"/>
        <w:rPr>
          <w:rFonts w:cstheme="minorHAnsi"/>
          <w:sz w:val="18"/>
          <w:szCs w:val="18"/>
        </w:rPr>
      </w:pPr>
      <w:r w:rsidRPr="00E36FF6">
        <w:rPr>
          <w:rFonts w:cstheme="minorHAnsi"/>
          <w:sz w:val="18"/>
          <w:szCs w:val="18"/>
        </w:rPr>
        <w:t>08.22.2017</w:t>
      </w:r>
      <w:r w:rsidRPr="00E36FF6">
        <w:rPr>
          <w:rFonts w:cstheme="minorHAnsi"/>
          <w:sz w:val="18"/>
          <w:szCs w:val="18"/>
        </w:rPr>
        <w:tab/>
        <w:t>In preparation for a forthcoming proposal that would simplify regulatory capital requirements, federal banking regulators on Tuesday [August 22</w:t>
      </w:r>
      <w:r w:rsidRPr="00E36FF6">
        <w:rPr>
          <w:rFonts w:cstheme="minorHAnsi"/>
          <w:sz w:val="18"/>
          <w:szCs w:val="18"/>
          <w:vertAlign w:val="superscript"/>
        </w:rPr>
        <w:t>nd</w:t>
      </w:r>
      <w:r w:rsidRPr="00E36FF6">
        <w:rPr>
          <w:rFonts w:cstheme="minorHAnsi"/>
          <w:sz w:val="18"/>
          <w:szCs w:val="18"/>
        </w:rPr>
        <w:t>] proposed a rule that would extend the existing transitional capital treatment for certain regulatory capital deductions and risk weights. The extension would apply to banking organizations that are not subject to the agencies</w:t>
      </w:r>
      <w:r w:rsidR="00C45A3D">
        <w:rPr>
          <w:rFonts w:cstheme="minorHAnsi"/>
          <w:sz w:val="18"/>
          <w:szCs w:val="18"/>
        </w:rPr>
        <w:t>’</w:t>
      </w:r>
      <w:r w:rsidRPr="00E36FF6">
        <w:rPr>
          <w:rFonts w:cstheme="minorHAnsi"/>
          <w:sz w:val="18"/>
          <w:szCs w:val="18"/>
        </w:rPr>
        <w:t xml:space="preserve"> advanced approaches capital rules.</w:t>
      </w:r>
      <w:r w:rsidR="00920B78" w:rsidRPr="00E36FF6">
        <w:rPr>
          <w:rFonts w:eastAsia="Calibri" w:cstheme="minorHAnsi"/>
          <w:sz w:val="18"/>
          <w:szCs w:val="18"/>
        </w:rPr>
        <w:t xml:space="preserve"> </w:t>
      </w:r>
      <w:r w:rsidR="00920B78" w:rsidRPr="00E36FF6">
        <w:rPr>
          <w:rFonts w:cstheme="minorHAnsi"/>
          <w:sz w:val="18"/>
          <w:szCs w:val="18"/>
        </w:rPr>
        <w:t>As part of the recent review of regulations under the Economic Growth and Regulatory Paperwork Reduction Act, the agencies announced that they are developing a proposal that would simplify the capital rules to reduce regulatory burden, particularly for community banks. That proposal would simplify the capital rules</w:t>
      </w:r>
      <w:r w:rsidR="00C45A3D">
        <w:rPr>
          <w:rFonts w:cstheme="minorHAnsi"/>
          <w:sz w:val="18"/>
          <w:szCs w:val="18"/>
        </w:rPr>
        <w:t>’</w:t>
      </w:r>
      <w:r w:rsidR="00920B78" w:rsidRPr="00E36FF6">
        <w:rPr>
          <w:rFonts w:cstheme="minorHAnsi"/>
          <w:sz w:val="18"/>
          <w:szCs w:val="18"/>
        </w:rPr>
        <w:t xml:space="preserve"> treatment of mortgage servicing assets and other items. However, under the current capital rules, the transitional treatment for those items is scheduled to be replaced with a different treatment on January 1, 2018. Comments on this proposal will be accepted for 30 days after publication in the Federal Register. </w:t>
      </w:r>
      <w:r w:rsidR="002073FD" w:rsidRPr="00E36FF6">
        <w:rPr>
          <w:rFonts w:cstheme="minorHAnsi"/>
          <w:sz w:val="18"/>
          <w:szCs w:val="18"/>
          <w:u w:val="single"/>
        </w:rPr>
        <w:t>The Notice of Proposed Rulemaking was published in the </w:t>
      </w:r>
      <w:hyperlink r:id="rId42" w:tgtFrame="_blank" w:history="1">
        <w:r w:rsidR="002073FD" w:rsidRPr="00E36FF6">
          <w:rPr>
            <w:rStyle w:val="Hyperlink"/>
            <w:rFonts w:cstheme="minorHAnsi"/>
            <w:color w:val="auto"/>
            <w:sz w:val="18"/>
            <w:szCs w:val="18"/>
          </w:rPr>
          <w:t>Federal Register</w:t>
        </w:r>
      </w:hyperlink>
      <w:r w:rsidR="002073FD" w:rsidRPr="00E36FF6">
        <w:rPr>
          <w:rFonts w:cstheme="minorHAnsi"/>
          <w:sz w:val="18"/>
          <w:szCs w:val="18"/>
          <w:u w:val="single"/>
        </w:rPr>
        <w:t> on October 27, 2017, and comments must be received by December 26, 2017.</w:t>
      </w:r>
    </w:p>
    <w:p w:rsidR="00FC00EF" w:rsidRPr="00436AD8" w:rsidRDefault="00FC00EF" w:rsidP="002221C5">
      <w:pPr>
        <w:pStyle w:val="CCTOCHeading"/>
        <w:rPr>
          <w:rFonts w:asciiTheme="minorHAnsi" w:hAnsiTheme="minorHAnsi" w:cstheme="minorHAnsi"/>
        </w:rPr>
      </w:pPr>
      <w:bookmarkStart w:id="42" w:name="_Toc482863500"/>
      <w:bookmarkStart w:id="43" w:name="_Toc464471335"/>
      <w:bookmarkStart w:id="44" w:name="_Toc504138800"/>
      <w:bookmarkStart w:id="45" w:name="_Toc504562615"/>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upcoming</w:t>
      </w:r>
      <w:r w:rsidR="00B8557A" w:rsidRPr="00436AD8">
        <w:rPr>
          <w:rFonts w:asciiTheme="minorHAnsi" w:hAnsiTheme="minorHAnsi" w:cstheme="minorHAnsi"/>
        </w:rPr>
        <w:t xml:space="preserve"> </w:t>
      </w:r>
      <w:r w:rsidRPr="00436AD8">
        <w:rPr>
          <w:rFonts w:asciiTheme="minorHAnsi" w:hAnsiTheme="minorHAnsi" w:cstheme="minorHAnsi"/>
        </w:rPr>
        <w:t>effective</w:t>
      </w:r>
      <w:r w:rsidR="00B8557A" w:rsidRPr="00436AD8">
        <w:rPr>
          <w:rFonts w:asciiTheme="minorHAnsi" w:hAnsiTheme="minorHAnsi" w:cstheme="minorHAnsi"/>
        </w:rPr>
        <w:t xml:space="preserve"> </w:t>
      </w:r>
      <w:r w:rsidRPr="00436AD8">
        <w:rPr>
          <w:rFonts w:asciiTheme="minorHAnsi" w:hAnsiTheme="minorHAnsi" w:cstheme="minorHAnsi"/>
        </w:rPr>
        <w:t>dates</w:t>
      </w:r>
      <w:bookmarkEnd w:id="42"/>
      <w:bookmarkEnd w:id="43"/>
      <w:bookmarkEnd w:id="44"/>
      <w:bookmarkEnd w:id="45"/>
    </w:p>
    <w:p w:rsidR="00FC00EF" w:rsidRPr="00436AD8" w:rsidRDefault="00FC00EF" w:rsidP="00FC00EF">
      <w:pPr>
        <w:pStyle w:val="CCIssuance"/>
        <w:rPr>
          <w:rFonts w:asciiTheme="minorHAnsi" w:hAnsiTheme="minorHAnsi" w:cstheme="minorHAnsi"/>
          <w:b w:val="0"/>
          <w:color w:val="auto"/>
          <w:sz w:val="22"/>
          <w:szCs w:val="22"/>
        </w:rPr>
      </w:pPr>
      <w:r w:rsidRPr="00436AD8">
        <w:rPr>
          <w:rFonts w:asciiTheme="minorHAnsi" w:hAnsiTheme="minorHAnsi" w:cstheme="minorHAnsi"/>
          <w:b w:val="0"/>
          <w:sz w:val="22"/>
          <w:szCs w:val="22"/>
        </w:rPr>
        <w:t>Not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included.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Only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affecting</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community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reported,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but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we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make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guarantees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that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these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your</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needs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know</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about.</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EFFECTIVE</w:t>
      </w:r>
      <w:r w:rsidR="00B8557A" w:rsidRPr="00436AD8">
        <w:rPr>
          <w:rFonts w:cstheme="minorHAnsi"/>
          <w:b/>
          <w:sz w:val="18"/>
          <w:szCs w:val="18"/>
        </w:rPr>
        <w:t xml:space="preserve"> </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w:t>
      </w:r>
      <w:r w:rsidR="00B8557A" w:rsidRPr="00436AD8">
        <w:rPr>
          <w:rFonts w:cstheme="minorHAnsi"/>
          <w:b/>
          <w:sz w:val="18"/>
          <w:szCs w:val="18"/>
        </w:rPr>
        <w:t xml:space="preserve"> </w:t>
      </w:r>
      <w:r w:rsidRPr="00436AD8">
        <w:rPr>
          <w:rFonts w:cstheme="minorHAnsi"/>
          <w:b/>
          <w:sz w:val="18"/>
          <w:szCs w:val="18"/>
        </w:rPr>
        <w:t>OF</w:t>
      </w:r>
      <w:r w:rsidR="00B8557A" w:rsidRPr="00436AD8">
        <w:rPr>
          <w:rFonts w:cstheme="minorHAnsi"/>
          <w:b/>
          <w:sz w:val="18"/>
          <w:szCs w:val="18"/>
        </w:rPr>
        <w:t xml:space="preserve"> </w:t>
      </w:r>
      <w:r w:rsidRPr="00436AD8">
        <w:rPr>
          <w:rFonts w:cstheme="minorHAnsi"/>
          <w:b/>
          <w:sz w:val="18"/>
          <w:szCs w:val="18"/>
        </w:rPr>
        <w:t>FINAL</w:t>
      </w:r>
      <w:r w:rsidR="00B8557A" w:rsidRPr="00436AD8">
        <w:rPr>
          <w:rFonts w:cstheme="minorHAnsi"/>
          <w:b/>
          <w:sz w:val="18"/>
          <w:szCs w:val="18"/>
        </w:rPr>
        <w:t xml:space="preserve"> </w:t>
      </w:r>
      <w:r w:rsidRPr="00436AD8">
        <w:rPr>
          <w:rFonts w:cstheme="minorHAnsi"/>
          <w:b/>
          <w:sz w:val="18"/>
          <w:szCs w:val="18"/>
        </w:rPr>
        <w:t>RULE:</w:t>
      </w:r>
    </w:p>
    <w:p w:rsidR="0069686B" w:rsidRPr="00436AD8" w:rsidRDefault="0069686B" w:rsidP="0069686B">
      <w:pPr>
        <w:pStyle w:val="CCComment"/>
        <w:rPr>
          <w:rFonts w:asciiTheme="minorHAnsi" w:hAnsiTheme="minorHAnsi" w:cstheme="minorHAnsi"/>
          <w:b w:val="0"/>
          <w:i w:val="0"/>
          <w:color w:val="auto"/>
          <w:sz w:val="18"/>
          <w:szCs w:val="18"/>
        </w:rPr>
      </w:pPr>
    </w:p>
    <w:p w:rsidR="00EE616A" w:rsidRDefault="00EE616A" w:rsidP="00EE616A">
      <w:pPr>
        <w:pStyle w:val="CCComment"/>
        <w:tabs>
          <w:tab w:val="left" w:pos="720"/>
          <w:tab w:val="left" w:pos="1440"/>
          <w:tab w:val="left" w:pos="2160"/>
          <w:tab w:val="left" w:pos="2880"/>
          <w:tab w:val="left" w:pos="3600"/>
          <w:tab w:val="left" w:pos="4320"/>
          <w:tab w:val="left" w:pos="5040"/>
          <w:tab w:val="left" w:pos="5760"/>
          <w:tab w:val="left" w:pos="6480"/>
          <w:tab w:val="left" w:pos="7200"/>
          <w:tab w:val="left" w:pos="7980"/>
        </w:tabs>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3" w:history="1">
        <w:r w:rsidRPr="00436AD8">
          <w:rPr>
            <w:rStyle w:val="Hyperlink"/>
            <w:rFonts w:asciiTheme="minorHAnsi" w:hAnsiTheme="minorHAnsi" w:cstheme="minorHAnsi"/>
            <w:b w:val="0"/>
            <w:sz w:val="18"/>
            <w:szCs w:val="18"/>
          </w:rPr>
          <w:t>Appraisals for Higher-Priced Mortgage Loans Exemption Threshold Adjustments</w:t>
        </w:r>
      </w:hyperlink>
      <w:r w:rsidRPr="00436AD8">
        <w:rPr>
          <w:rFonts w:asciiTheme="minorHAnsi" w:hAnsiTheme="minorHAnsi" w:cstheme="minorHAnsi"/>
          <w:b w:val="0"/>
          <w:color w:val="auto"/>
          <w:sz w:val="18"/>
          <w:szCs w:val="18"/>
        </w:rPr>
        <w:t xml:space="preserve">. </w:t>
      </w:r>
      <w:r w:rsidRPr="00436AD8">
        <w:rPr>
          <w:rFonts w:asciiTheme="minorHAnsi" w:hAnsiTheme="minorHAnsi" w:cstheme="minorHAnsi"/>
          <w:b w:val="0"/>
          <w:i w:val="0"/>
          <w:color w:val="auto"/>
          <w:sz w:val="18"/>
          <w:szCs w:val="18"/>
        </w:rPr>
        <w:t>The Agencies</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rules exempted, among other loan types, transactions of $25,000 or less, and required that this loan amount be adjusted annually based on any annual percentage increase in the Consumer Price Index for Urban Wage Earners and Clerical Workers (CPI-W).</w:t>
      </w:r>
    </w:p>
    <w:p w:rsidR="00EE616A" w:rsidRPr="00EE616A" w:rsidRDefault="00EE616A" w:rsidP="00EE616A">
      <w:pPr>
        <w:pStyle w:val="CCComment"/>
        <w:tabs>
          <w:tab w:val="left" w:pos="720"/>
          <w:tab w:val="left" w:pos="1440"/>
          <w:tab w:val="left" w:pos="2160"/>
          <w:tab w:val="left" w:pos="2880"/>
          <w:tab w:val="left" w:pos="3600"/>
          <w:tab w:val="left" w:pos="4320"/>
          <w:tab w:val="left" w:pos="5040"/>
          <w:tab w:val="left" w:pos="5760"/>
          <w:tab w:val="left" w:pos="6945"/>
        </w:tabs>
        <w:ind w:left="1440" w:hanging="1440"/>
        <w:rPr>
          <w:rFonts w:asciiTheme="minorHAnsi" w:hAnsiTheme="minorHAnsi" w:cstheme="minorHAnsi"/>
          <w:b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4" w:history="1">
        <w:r w:rsidRPr="00436AD8">
          <w:rPr>
            <w:rStyle w:val="Hyperlink"/>
            <w:rFonts w:asciiTheme="minorHAnsi" w:hAnsiTheme="minorHAnsi" w:cstheme="minorHAnsi"/>
            <w:b w:val="0"/>
            <w:sz w:val="18"/>
            <w:szCs w:val="18"/>
          </w:rPr>
          <w:t>Consumer Leasing (Regulation M) Annual Threshold Adjustments</w:t>
        </w:r>
      </w:hyperlink>
      <w:r w:rsidRPr="00436AD8">
        <w:rPr>
          <w:rFonts w:asciiTheme="minorHAnsi" w:hAnsiTheme="minorHAnsi" w:cstheme="minorHAnsi"/>
          <w:b w:val="0"/>
          <w:color w:val="auto"/>
          <w:sz w:val="18"/>
          <w:szCs w:val="18"/>
        </w:rPr>
        <w:t xml:space="preserve">. </w:t>
      </w:r>
      <w:r w:rsidRPr="00436AD8">
        <w:rPr>
          <w:rFonts w:asciiTheme="minorHAnsi" w:hAnsiTheme="minorHAnsi" w:cstheme="minorHAnsi"/>
          <w:b w:val="0"/>
          <w:i w:val="0"/>
          <w:color w:val="auto"/>
          <w:sz w:val="18"/>
          <w:szCs w:val="18"/>
        </w:rPr>
        <w:t>The Board and the Bureau are finalizing amendments to the commentary for the agencies</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regulations that implement the Consumer Leasing Act which affect the calculation method for determining the annual adjustment of the dollar threshold for exempt consumer leases and set the 2017 exemption threshold amount.</w:t>
      </w:r>
    </w:p>
    <w:p w:rsidR="0069686B" w:rsidRDefault="0069686B"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5" w:history="1">
        <w:r w:rsidRPr="00436AD8">
          <w:rPr>
            <w:rStyle w:val="Hyperlink"/>
            <w:rFonts w:asciiTheme="minorHAnsi" w:hAnsiTheme="minorHAnsi" w:cstheme="minorHAnsi"/>
            <w:b w:val="0"/>
            <w:i w:val="0"/>
            <w:sz w:val="18"/>
            <w:szCs w:val="18"/>
          </w:rPr>
          <w:t>Community Reinvestment Act Final Rule.</w:t>
        </w:r>
      </w:hyperlink>
      <w:r w:rsidRPr="00436AD8">
        <w:rPr>
          <w:rFonts w:asciiTheme="minorHAnsi" w:hAnsiTheme="minorHAnsi" w:cstheme="minorHAnsi"/>
          <w:b w:val="0"/>
          <w:i w:val="0"/>
          <w:color w:val="auto"/>
          <w:sz w:val="18"/>
          <w:szCs w:val="18"/>
        </w:rPr>
        <w:t xml:space="preserve"> The Office of the Comptroller of the Currency, the Board of Governors of the Federal Reserve System, and the Federal Deposit Insurance Corporation (the agencies) published on November 24, 2017, a final rule in the </w:t>
      </w:r>
      <w:r w:rsidRPr="00436AD8">
        <w:rPr>
          <w:rFonts w:asciiTheme="minorHAnsi" w:hAnsiTheme="minorHAnsi" w:cstheme="minorHAnsi"/>
          <w:b w:val="0"/>
          <w:i w:val="0"/>
          <w:iCs/>
          <w:color w:val="auto"/>
          <w:sz w:val="18"/>
          <w:szCs w:val="18"/>
        </w:rPr>
        <w:t>Federal Register</w:t>
      </w:r>
      <w:r w:rsidRPr="00436AD8">
        <w:rPr>
          <w:rFonts w:asciiTheme="minorHAnsi" w:hAnsiTheme="minorHAnsi" w:cstheme="minorHAnsi"/>
          <w:b w:val="0"/>
          <w:i w:val="0"/>
          <w:color w:val="auto"/>
          <w:sz w:val="18"/>
          <w:szCs w:val="18"/>
        </w:rPr>
        <w:t xml:space="preserve"> that revises their regulations implementing the Community Reinvestment Act (CRA) (12 USC 2901 et seq.). The final rule amends the CRA regulations</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definitions of </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home mortgage loan</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and </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consumer loan</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 xml:space="preserve"> to conform to recent changes made by the Consumer Financial Protection Bureau to Regulation C, which implements the Home Mortgage Disclosure Act (HMDA). The final rule also amends the CRA public file content requirements for consistency with Regulation C, makes technical amendments to remove cross references related to the proposed amended definitions, and removes an obsolete reference to the Neighborhood Stabilization Program.</w:t>
      </w:r>
    </w:p>
    <w:p w:rsidR="00B1211C" w:rsidRPr="00EE616A" w:rsidRDefault="00B1211C" w:rsidP="00EE616A">
      <w:pPr>
        <w:pStyle w:val="CCComment"/>
        <w:ind w:left="1440" w:hanging="1440"/>
        <w:rPr>
          <w:rFonts w:cstheme="minorHAnsi"/>
          <w:sz w:val="18"/>
          <w:szCs w:val="18"/>
        </w:rPr>
      </w:pPr>
      <w:r>
        <w:rPr>
          <w:rFonts w:asciiTheme="minorHAnsi" w:hAnsiTheme="minorHAnsi" w:cstheme="minorHAnsi"/>
          <w:b w:val="0"/>
          <w:i w:val="0"/>
          <w:color w:val="auto"/>
          <w:sz w:val="18"/>
          <w:szCs w:val="18"/>
        </w:rPr>
        <w:lastRenderedPageBreak/>
        <w:t>01.01.2018</w:t>
      </w:r>
      <w:r>
        <w:rPr>
          <w:rFonts w:asciiTheme="minorHAnsi" w:hAnsiTheme="minorHAnsi" w:cstheme="minorHAnsi"/>
          <w:b w:val="0"/>
          <w:i w:val="0"/>
          <w:color w:val="auto"/>
          <w:sz w:val="18"/>
          <w:szCs w:val="18"/>
        </w:rPr>
        <w:tab/>
      </w:r>
      <w:hyperlink r:id="rId46" w:history="1">
        <w:r w:rsidRPr="00EE616A">
          <w:rPr>
            <w:rStyle w:val="Hyperlink"/>
            <w:rFonts w:asciiTheme="minorHAnsi" w:hAnsiTheme="minorHAnsi" w:cstheme="minorHAnsi"/>
            <w:b w:val="0"/>
            <w:i w:val="0"/>
            <w:sz w:val="18"/>
            <w:szCs w:val="18"/>
          </w:rPr>
          <w:t>Community Reinvestment Act Asset Size Adjustment</w:t>
        </w:r>
      </w:hyperlink>
      <w:r>
        <w:rPr>
          <w:rFonts w:asciiTheme="minorHAnsi" w:hAnsiTheme="minorHAnsi" w:cstheme="minorHAnsi"/>
          <w:b w:val="0"/>
          <w:i w:val="0"/>
          <w:color w:val="auto"/>
          <w:sz w:val="18"/>
          <w:szCs w:val="18"/>
        </w:rPr>
        <w:t xml:space="preserve">. </w:t>
      </w:r>
      <w:r w:rsidRPr="00B1211C">
        <w:rPr>
          <w:rFonts w:asciiTheme="minorHAnsi" w:hAnsiTheme="minorHAnsi" w:cstheme="minorHAnsi"/>
          <w:b w:val="0"/>
          <w:i w:val="0"/>
          <w:color w:val="000000" w:themeColor="text1"/>
          <w:sz w:val="18"/>
          <w:szCs w:val="18"/>
        </w:rPr>
        <w:t>The annual adjustments are required by the CRA rules. Financial institutions are evaluated under different CRA examination procedures based upon their asset-size classification. Those meeting the small and intermediate small institution asset-size thresholds are not subject to the reporting requirements applicable to large banks and savings associations unless they choose to be evaluated as a large institution.</w:t>
      </w:r>
    </w:p>
    <w:p w:rsidR="0069686B" w:rsidRDefault="0069686B"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7" w:history="1">
        <w:r w:rsidRPr="00436AD8">
          <w:rPr>
            <w:rStyle w:val="Hyperlink"/>
            <w:rFonts w:asciiTheme="minorHAnsi" w:hAnsiTheme="minorHAnsi" w:cstheme="minorHAnsi"/>
            <w:b w:val="0"/>
            <w:i w:val="0"/>
            <w:sz w:val="18"/>
            <w:szCs w:val="18"/>
          </w:rPr>
          <w:t>Fair Credit Reporting Act</w:t>
        </w:r>
      </w:hyperlink>
      <w:r w:rsidRPr="00436AD8">
        <w:rPr>
          <w:rFonts w:asciiTheme="minorHAnsi" w:hAnsiTheme="minorHAnsi" w:cstheme="minorHAnsi"/>
          <w:b w:val="0"/>
          <w:i w:val="0"/>
          <w:color w:val="auto"/>
          <w:sz w:val="18"/>
          <w:szCs w:val="18"/>
        </w:rPr>
        <w:t>. The Bureau of Consumer Financial Protection (Bureau) announces that the ceiling on allowable charges under section 612(f) of the Fair Credit Reporting Act (FCRA) will remain unchanged at $12.00, effective for 2018.</w:t>
      </w:r>
    </w:p>
    <w:p w:rsidR="00EE616A" w:rsidRDefault="00EE616A" w:rsidP="00EE616A">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bookmarkStart w:id="46" w:name="_Hlk504554273"/>
      <w:r w:rsidRPr="00EE616A">
        <w:fldChar w:fldCharType="begin"/>
      </w:r>
      <w:r w:rsidRPr="00EE616A">
        <w:rPr>
          <w:b w:val="0"/>
        </w:rPr>
        <w:instrText xml:space="preserve"> HYPERLINK "https://www.consumerfinance.gov/eregulations/1003-1/2015-26607_20180101" </w:instrText>
      </w:r>
      <w:r w:rsidRPr="00EE616A">
        <w:fldChar w:fldCharType="separate"/>
      </w:r>
      <w:r w:rsidRPr="00EE616A">
        <w:rPr>
          <w:rStyle w:val="Hyperlink"/>
          <w:rFonts w:asciiTheme="minorHAnsi" w:hAnsiTheme="minorHAnsi" w:cstheme="minorHAnsi"/>
          <w:b w:val="0"/>
          <w:sz w:val="18"/>
          <w:szCs w:val="18"/>
        </w:rPr>
        <w:t>Home Mortgage Disclosure (Regulation C).</w:t>
      </w:r>
      <w:r w:rsidRPr="00EE616A">
        <w:rPr>
          <w:rStyle w:val="Hyperlink"/>
          <w:rFonts w:asciiTheme="minorHAnsi" w:hAnsiTheme="minorHAnsi" w:cstheme="minorHAnsi"/>
          <w:b w:val="0"/>
          <w:sz w:val="18"/>
          <w:szCs w:val="18"/>
        </w:rPr>
        <w:fldChar w:fldCharType="end"/>
      </w:r>
      <w:r w:rsidRPr="00436AD8">
        <w:rPr>
          <w:rStyle w:val="EndnoteReference"/>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 CFPB amended Regulation C to implement amendments to HMDA made by section 1094 of the Dodd-Frank Act. Consistent with section 1094 of the Dodd-Frank Act, the CFPB is adding several new reporting requirements and clarifying several existing requirements. The CFPB is also modifying the institutional and transactional coverage of Regulation C. The final rule also provides extensive guidance regarding compliance with both the existing and new requirements.</w:t>
      </w:r>
      <w:bookmarkEnd w:id="46"/>
    </w:p>
    <w:p w:rsidR="0040382B" w:rsidRPr="00436AD8" w:rsidRDefault="0040382B" w:rsidP="0040382B">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48" w:history="1">
        <w:r w:rsidRPr="0040382B">
          <w:rPr>
            <w:rStyle w:val="Hyperlink"/>
            <w:rFonts w:asciiTheme="minorHAnsi" w:hAnsiTheme="minorHAnsi" w:cstheme="minorHAnsi"/>
            <w:b w:val="0"/>
            <w:sz w:val="18"/>
            <w:szCs w:val="18"/>
          </w:rPr>
          <w:t>Home Mortgage Disclosure (Regulation C</w:t>
        </w:r>
      </w:hyperlink>
      <w:r w:rsidRPr="0040382B">
        <w:rPr>
          <w:rFonts w:asciiTheme="minorHAnsi" w:hAnsiTheme="minorHAnsi" w:cstheme="minorHAnsi"/>
          <w:b w:val="0"/>
          <w:sz w:val="18"/>
          <w:szCs w:val="18"/>
        </w:rPr>
        <w:t>).</w:t>
      </w:r>
      <w:r w:rsidRPr="00436AD8">
        <w:rPr>
          <w:rStyle w:val="EndnoteReference"/>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 xml:space="preserve">The CFPB </w:t>
      </w:r>
      <w:r w:rsidRPr="0040382B">
        <w:rPr>
          <w:rFonts w:ascii="Calibri" w:eastAsia="Calibri" w:hAnsi="Calibri"/>
          <w:b w:val="0"/>
          <w:i w:val="0"/>
          <w:color w:val="000000"/>
          <w:sz w:val="18"/>
          <w:szCs w:val="18"/>
        </w:rPr>
        <w:t xml:space="preserve">announced the asset-size </w:t>
      </w:r>
      <w:r>
        <w:rPr>
          <w:rFonts w:ascii="Calibri" w:eastAsia="Calibri" w:hAnsi="Calibri"/>
          <w:b w:val="0"/>
          <w:i w:val="0"/>
          <w:color w:val="000000"/>
          <w:sz w:val="18"/>
          <w:szCs w:val="18"/>
        </w:rPr>
        <w:t xml:space="preserve">reporting </w:t>
      </w:r>
      <w:r w:rsidRPr="0040382B">
        <w:rPr>
          <w:rFonts w:ascii="Calibri" w:eastAsia="Calibri" w:hAnsi="Calibri"/>
          <w:b w:val="0"/>
          <w:i w:val="0"/>
          <w:color w:val="000000"/>
          <w:sz w:val="18"/>
          <w:szCs w:val="18"/>
        </w:rPr>
        <w:t>exemption thresholds for depository institutions under Regulation C</w:t>
      </w:r>
      <w:r>
        <w:rPr>
          <w:rFonts w:ascii="Calibri" w:eastAsia="Calibri" w:hAnsi="Calibri"/>
          <w:b w:val="0"/>
          <w:i w:val="0"/>
          <w:color w:val="000000"/>
          <w:sz w:val="18"/>
          <w:szCs w:val="18"/>
        </w:rPr>
        <w:t>.</w:t>
      </w:r>
    </w:p>
    <w:p w:rsidR="0069686B" w:rsidRDefault="0032589C" w:rsidP="0032589C">
      <w:pPr>
        <w:pStyle w:val="CCComment"/>
        <w:ind w:left="1440" w:hanging="1440"/>
        <w:rPr>
          <w:rFonts w:asciiTheme="minorHAnsi" w:hAnsiTheme="minorHAnsi" w:cstheme="minorHAnsi"/>
          <w:b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49" w:history="1">
        <w:r w:rsidRPr="00436AD8">
          <w:rPr>
            <w:rStyle w:val="Hyperlink"/>
            <w:rFonts w:asciiTheme="minorHAnsi" w:hAnsiTheme="minorHAnsi" w:cstheme="minorHAnsi"/>
            <w:b w:val="0"/>
            <w:sz w:val="18"/>
            <w:szCs w:val="18"/>
          </w:rPr>
          <w:t>Truth in Lending (Regulation Z) Threshold Adjustments</w:t>
        </w:r>
      </w:hyperlink>
      <w:r w:rsidRPr="00436AD8">
        <w:rPr>
          <w:rFonts w:asciiTheme="minorHAnsi" w:hAnsiTheme="minorHAnsi" w:cstheme="minorHAnsi"/>
          <w:b w:val="0"/>
          <w:color w:val="auto"/>
          <w:sz w:val="18"/>
          <w:szCs w:val="18"/>
        </w:rPr>
        <w:t>. The Dodd-Frank Wall Street Reform and Consumer Protection Act (Dodd-Frank Act) amended TILA by requiring that the dollar threshold for exempt consumer credit transactions be adjusted annually by the annual percentage increase in the Consumer Price Index for Urban Wage Earners and Clerical Workers (CPI-W).</w:t>
      </w:r>
    </w:p>
    <w:p w:rsidR="00EE616A" w:rsidRPr="00EE616A" w:rsidRDefault="00EE616A" w:rsidP="00EE616A">
      <w:pPr>
        <w:pStyle w:val="CCComment"/>
        <w:ind w:left="1440" w:hanging="1440"/>
        <w:rPr>
          <w:rFonts w:asciiTheme="minorHAnsi" w:hAnsiTheme="minorHAnsi" w:cstheme="minorHAnsi"/>
          <w:b w:val="0"/>
          <w:color w:val="auto"/>
          <w:sz w:val="18"/>
          <w:szCs w:val="18"/>
        </w:rPr>
      </w:pPr>
      <w:r w:rsidRPr="00436AD8">
        <w:rPr>
          <w:rFonts w:asciiTheme="minorHAnsi" w:hAnsiTheme="minorHAnsi" w:cstheme="minorHAnsi"/>
          <w:b w:val="0"/>
          <w:i w:val="0"/>
          <w:color w:val="auto"/>
          <w:sz w:val="18"/>
          <w:szCs w:val="18"/>
        </w:rPr>
        <w:t>01.01.2018</w:t>
      </w:r>
      <w:r w:rsidRPr="00436AD8">
        <w:rPr>
          <w:rFonts w:asciiTheme="minorHAnsi" w:hAnsiTheme="minorHAnsi" w:cstheme="minorHAnsi"/>
          <w:b w:val="0"/>
          <w:i w:val="0"/>
          <w:color w:val="auto"/>
          <w:sz w:val="18"/>
          <w:szCs w:val="18"/>
        </w:rPr>
        <w:tab/>
      </w:r>
      <w:hyperlink r:id="rId50" w:history="1">
        <w:r w:rsidRPr="00EE616A">
          <w:rPr>
            <w:rStyle w:val="Hyperlink"/>
            <w:rFonts w:asciiTheme="minorHAnsi" w:hAnsiTheme="minorHAnsi" w:cstheme="minorHAnsi"/>
            <w:b w:val="0"/>
            <w:sz w:val="18"/>
            <w:szCs w:val="18"/>
          </w:rPr>
          <w:t>Truth in Lending (Regulation Z) Threshold Adjustments</w:t>
        </w:r>
      </w:hyperlink>
      <w:r w:rsidRPr="00436AD8">
        <w:rPr>
          <w:rFonts w:asciiTheme="minorHAnsi" w:hAnsiTheme="minorHAnsi" w:cstheme="minorHAnsi"/>
          <w:b w:val="0"/>
          <w:color w:val="auto"/>
          <w:sz w:val="18"/>
          <w:szCs w:val="18"/>
        </w:rPr>
        <w:t xml:space="preserve">. </w:t>
      </w:r>
      <w:r w:rsidR="0040382B" w:rsidRPr="0040382B">
        <w:rPr>
          <w:rFonts w:asciiTheme="minorHAnsi" w:hAnsiTheme="minorHAnsi" w:cstheme="minorHAnsi"/>
          <w:b w:val="0"/>
          <w:i w:val="0"/>
          <w:color w:val="auto"/>
          <w:sz w:val="18"/>
          <w:szCs w:val="18"/>
        </w:rPr>
        <w:t>Adjusts the assets size thresholds</w:t>
      </w:r>
      <w:r w:rsidR="0040382B">
        <w:rPr>
          <w:rFonts w:asciiTheme="minorHAnsi" w:hAnsiTheme="minorHAnsi" w:cstheme="minorHAnsi"/>
          <w:b w:val="0"/>
          <w:color w:val="auto"/>
          <w:sz w:val="18"/>
          <w:szCs w:val="18"/>
        </w:rPr>
        <w:t xml:space="preserve"> for </w:t>
      </w:r>
      <w:r w:rsidR="0040382B">
        <w:rPr>
          <w:rFonts w:asciiTheme="minorHAnsi" w:hAnsiTheme="minorHAnsi" w:cstheme="minorHAnsi"/>
          <w:b w:val="0"/>
          <w:i w:val="0"/>
          <w:color w:val="auto"/>
          <w:sz w:val="18"/>
          <w:szCs w:val="18"/>
        </w:rPr>
        <w:t>c</w:t>
      </w:r>
      <w:r w:rsidRPr="00EE616A">
        <w:rPr>
          <w:rFonts w:asciiTheme="minorHAnsi" w:hAnsiTheme="minorHAnsi" w:cstheme="minorHAnsi"/>
          <w:b w:val="0"/>
          <w:i w:val="0"/>
          <w:color w:val="auto"/>
          <w:sz w:val="18"/>
          <w:szCs w:val="18"/>
        </w:rPr>
        <w:t>reditors under the escrow requirements and small-creditor portfolio and balloon-payment qualified mortgage requirements, and the prohibition against balloon-payment high-cost mortgages under Regulation Z. These thresholds became effective Jan. 1, 2018.</w:t>
      </w:r>
    </w:p>
    <w:p w:rsidR="00FC00EF" w:rsidRPr="00436AD8" w:rsidRDefault="00FC00EF"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04.01.2018</w:t>
      </w:r>
      <w:r w:rsidRPr="00436AD8">
        <w:rPr>
          <w:rFonts w:asciiTheme="minorHAnsi" w:hAnsiTheme="minorHAnsi" w:cstheme="minorHAnsi"/>
          <w:b w:val="0"/>
          <w:i w:val="0"/>
          <w:color w:val="auto"/>
          <w:sz w:val="18"/>
          <w:szCs w:val="18"/>
        </w:rPr>
        <w:tab/>
      </w:r>
      <w:hyperlink r:id="rId51"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Accounts</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under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Electronic</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Fund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Transfer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Truth</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Lending</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Z)</w:t>
        </w:r>
      </w:hyperlink>
      <w:r w:rsidRPr="00436AD8">
        <w:rPr>
          <w:rFonts w:asciiTheme="minorHAnsi" w:hAnsiTheme="minorHAnsi" w:cstheme="minorHAnsi"/>
          <w:b w:val="0"/>
          <w:i w:val="0"/>
          <w:color w:val="auto"/>
          <w:sz w:val="18"/>
          <w:szCs w:val="18"/>
        </w:rPr>
        <w: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create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comprehensive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consumer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protections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Transfer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Z,</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Truth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Lending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interpretations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those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modifies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general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create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tailored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provisions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governing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disclosures,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limited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liability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error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resolution,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periodic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statements,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regarding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posting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agreements.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Additionally,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overdraft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features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that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may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offered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conjunction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Subject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certain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exceptions,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features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will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covered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Z</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where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feature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offered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affiliate,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business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partner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credit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can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accessed</w:t>
      </w:r>
      <w:r w:rsidR="00B8557A" w:rsidRPr="00436AD8">
        <w:rPr>
          <w:rFonts w:asciiTheme="minorHAnsi" w:hAnsiTheme="minorHAnsi" w:cstheme="minorHAnsi"/>
          <w:b w:val="0"/>
          <w:i w:val="0"/>
          <w:color w:val="auto"/>
          <w:sz w:val="18"/>
          <w:szCs w:val="18"/>
        </w:rPr>
        <w:t xml:space="preserve"> </w:t>
      </w:r>
      <w:proofErr w:type="gramStart"/>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course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proofErr w:type="gramEnd"/>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transaction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conducted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u w:val="single"/>
        </w:rPr>
        <w:t>DATES:</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This</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rule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was</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originally</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effective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on</w:t>
      </w:r>
      <w:r w:rsidR="00B8557A" w:rsidRPr="00436AD8">
        <w:rPr>
          <w:rFonts w:asciiTheme="minorHAnsi" w:hAnsiTheme="minorHAnsi" w:cstheme="minorHAnsi"/>
          <w:b w:val="0"/>
          <w:i w:val="0"/>
          <w:color w:val="auto"/>
          <w:sz w:val="18"/>
          <w:szCs w:val="18"/>
          <w:u w:val="single"/>
        </w:rPr>
        <w:t xml:space="preserve"> </w:t>
      </w:r>
      <w:r w:rsidR="00060967" w:rsidRPr="00436AD8">
        <w:rPr>
          <w:rFonts w:asciiTheme="minorHAnsi" w:hAnsiTheme="minorHAnsi" w:cstheme="minorHAnsi"/>
          <w:b w:val="0"/>
          <w:i w:val="0"/>
          <w:color w:val="auto"/>
          <w:sz w:val="18"/>
          <w:szCs w:val="18"/>
          <w:u w:val="single"/>
        </w:rPr>
        <w:t>December</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1,</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2017</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but</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Final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Rule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published</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April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25,</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2017</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amended</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the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effective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date</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until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April</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1,</w:t>
      </w:r>
      <w:r w:rsidR="00B8557A" w:rsidRPr="00436AD8">
        <w:rPr>
          <w:rFonts w:asciiTheme="minorHAnsi" w:hAnsiTheme="minorHAnsi" w:cstheme="minorHAnsi"/>
          <w:b w:val="0"/>
          <w:i w:val="0"/>
          <w:color w:val="auto"/>
          <w:sz w:val="18"/>
          <w:szCs w:val="18"/>
          <w:u w:val="single"/>
        </w:rPr>
        <w:t xml:space="preserve"> </w:t>
      </w:r>
      <w:r w:rsidRPr="00436AD8">
        <w:rPr>
          <w:rFonts w:asciiTheme="minorHAnsi" w:hAnsiTheme="minorHAnsi" w:cstheme="minorHAnsi"/>
          <w:b w:val="0"/>
          <w:i w:val="0"/>
          <w:color w:val="auto"/>
          <w:sz w:val="18"/>
          <w:szCs w:val="18"/>
          <w:u w:val="single"/>
        </w:rPr>
        <w:t>2018.</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1005.19(b)</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submit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agreements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Bureau</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delayed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until</w:t>
      </w:r>
      <w:r w:rsidR="00B8557A" w:rsidRPr="00436AD8">
        <w:rPr>
          <w:rFonts w:asciiTheme="minorHAnsi" w:hAnsiTheme="minorHAnsi" w:cstheme="minorHAnsi"/>
          <w:b w:val="0"/>
          <w:i w:val="0"/>
          <w:color w:val="auto"/>
          <w:sz w:val="18"/>
          <w:szCs w:val="18"/>
        </w:rPr>
        <w:t xml:space="preserve"> </w:t>
      </w:r>
      <w:r w:rsidR="00060967" w:rsidRPr="00436AD8">
        <w:rPr>
          <w:rFonts w:asciiTheme="minorHAnsi" w:hAnsiTheme="minorHAnsi" w:cstheme="minorHAnsi"/>
          <w:b w:val="0"/>
          <w:i w:val="0"/>
          <w:color w:val="auto"/>
          <w:sz w:val="18"/>
          <w:szCs w:val="18"/>
        </w:rPr>
        <w:t>December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2018.</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sz w:val="18"/>
          <w:szCs w:val="18"/>
        </w:rPr>
        <w:t xml:space="preserve"> </w:t>
      </w:r>
      <w:hyperlink r:id="rId52"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implementation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page</w:t>
        </w:r>
      </w:hyperlink>
      <w:r w:rsidRPr="00436AD8">
        <w:rPr>
          <w:rFonts w:asciiTheme="minorHAnsi" w:hAnsiTheme="minorHAnsi" w:cstheme="minorHAnsi"/>
          <w:b w:val="0"/>
          <w:i w:val="0"/>
          <w:sz w:val="18"/>
          <w:szCs w:val="18"/>
        </w:rPr>
        <w:t>.</w:t>
      </w:r>
    </w:p>
    <w:p w:rsidR="00FC00EF" w:rsidRPr="00436AD8" w:rsidRDefault="00FC00EF"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05.11.2018</w:t>
      </w:r>
      <w:r w:rsidRPr="00436AD8">
        <w:rPr>
          <w:rFonts w:asciiTheme="minorHAnsi" w:hAnsiTheme="minorHAnsi" w:cstheme="minorHAnsi"/>
          <w:b w:val="0"/>
          <w:i w:val="0"/>
          <w:color w:val="auto"/>
          <w:sz w:val="18"/>
          <w:szCs w:val="18"/>
        </w:rPr>
        <w:tab/>
        <w:t>FinCEN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issued</w:t>
      </w:r>
      <w:r w:rsidR="00B8557A" w:rsidRPr="00436AD8">
        <w:rPr>
          <w:rFonts w:asciiTheme="minorHAnsi" w:hAnsiTheme="minorHAnsi" w:cstheme="minorHAnsi"/>
          <w:b w:val="0"/>
          <w:i w:val="0"/>
          <w:color w:val="auto"/>
          <w:sz w:val="18"/>
          <w:szCs w:val="18"/>
        </w:rPr>
        <w:t xml:space="preserve"> </w:t>
      </w:r>
      <w:hyperlink r:id="rId53" w:history="1">
        <w:r w:rsidRPr="00436AD8">
          <w:rPr>
            <w:rStyle w:val="Hyperlink"/>
            <w:rFonts w:asciiTheme="minorHAnsi" w:hAnsiTheme="minorHAnsi" w:cstheme="minorHAnsi"/>
            <w:b w:val="0"/>
            <w:i w:val="0"/>
            <w:sz w:val="18"/>
            <w:szCs w:val="18"/>
          </w:rPr>
          <w:t>final</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rules</w:t>
        </w:r>
      </w:hyperlink>
      <w:r w:rsidR="00B8557A" w:rsidRPr="00436AD8">
        <w:rPr>
          <w:rFonts w:asciiTheme="minorHAnsi" w:hAnsiTheme="minorHAnsi" w:cstheme="minorHAnsi"/>
          <w:color w:val="auto"/>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Secrecy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clarify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strengthen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dealers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securities;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mutual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commission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merchants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introducing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commodities.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explicit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include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verify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beneficial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owners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legal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subject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certain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exclusions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exemptions.</w:t>
      </w:r>
    </w:p>
    <w:p w:rsidR="00AE1AD1" w:rsidRPr="00436AD8" w:rsidRDefault="00AE1AD1" w:rsidP="00BC64C7">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54" w:history="1">
        <w:r w:rsidR="00BC64C7" w:rsidRPr="00436AD8">
          <w:rPr>
            <w:rStyle w:val="Hyperlink"/>
            <w:rFonts w:asciiTheme="minorHAnsi" w:hAnsiTheme="minorHAnsi" w:cstheme="minorHAnsi"/>
            <w:b w:val="0"/>
            <w:sz w:val="18"/>
            <w:szCs w:val="18"/>
          </w:rPr>
          <w:t>Availability</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Funds</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and</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Collection</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Checks</w:t>
        </w:r>
      </w:hyperlink>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amending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(12</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229),</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Expedited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1987</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Clearing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21st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Century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2003</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staff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commentary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modified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reflect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virtually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all-electronic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environment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encourage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depositary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receive,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retained,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without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change,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same-day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settlement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paper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also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applying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existing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that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addition,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adopted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indemnities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related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w:t>
      </w:r>
      <w:r w:rsidR="00BC64C7" w:rsidRPr="00436AD8">
        <w:rPr>
          <w:rFonts w:asciiTheme="minorHAnsi" w:hAnsiTheme="minorHAnsi" w:cstheme="minorHAnsi"/>
          <w:b w:val="0"/>
          <w:i w:val="0"/>
          <w:color w:val="auto"/>
          <w:sz w:val="18"/>
          <w:szCs w:val="18"/>
        </w:rPr>
        <w:t>o</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electronically-created</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items.</w:t>
      </w:r>
    </w:p>
    <w:p w:rsidR="00995206" w:rsidRPr="00BB7FB0" w:rsidRDefault="00FC00EF" w:rsidP="00BB7FB0">
      <w:pPr>
        <w:pStyle w:val="CCComment"/>
        <w:ind w:left="1440" w:hanging="1440"/>
        <w:rPr>
          <w:rFonts w:asciiTheme="minorHAnsi" w:hAnsiTheme="minorHAnsi" w:cstheme="minorHAnsi"/>
          <w:b w:val="0"/>
          <w:i w:val="0"/>
          <w:sz w:val="18"/>
          <w:szCs w:val="18"/>
        </w:rPr>
      </w:pPr>
      <w:r w:rsidRPr="00436AD8">
        <w:rPr>
          <w:rFonts w:asciiTheme="minorHAnsi" w:hAnsiTheme="minorHAnsi" w:cstheme="minorHAnsi"/>
          <w:b w:val="0"/>
          <w:i w:val="0"/>
          <w:color w:val="auto"/>
          <w:sz w:val="18"/>
          <w:szCs w:val="18"/>
        </w:rPr>
        <w:t>10.01.2018</w:t>
      </w:r>
      <w:r w:rsidRPr="00436AD8">
        <w:rPr>
          <w:rFonts w:asciiTheme="minorHAnsi" w:hAnsiTheme="minorHAnsi" w:cstheme="minorHAnsi"/>
          <w:b w:val="0"/>
          <w:i w:val="0"/>
          <w:color w:val="002060"/>
          <w:sz w:val="18"/>
          <w:szCs w:val="18"/>
        </w:rPr>
        <w:tab/>
      </w:r>
      <w:hyperlink r:id="rId55"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Accounts</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under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Electronic</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Fund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Transfer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Truth</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Lending</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Z)</w:t>
        </w:r>
      </w:hyperlink>
      <w:r w:rsidRPr="00436AD8">
        <w:rPr>
          <w:rFonts w:asciiTheme="minorHAnsi" w:hAnsiTheme="minorHAnsi" w:cstheme="minorHAnsi"/>
          <w:b w:val="0"/>
          <w:i w:val="0"/>
          <w:color w:val="auto"/>
          <w:sz w:val="18"/>
          <w:szCs w:val="18"/>
        </w:rPr>
        <w: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Although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regarding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effective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10.01.2017,</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submit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agreements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effective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10.03.2018.</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sz w:val="18"/>
          <w:szCs w:val="18"/>
        </w:rPr>
        <w:t xml:space="preserve"> </w:t>
      </w:r>
      <w:hyperlink r:id="rId56"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implementation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page</w:t>
        </w:r>
      </w:hyperlink>
      <w:r w:rsidRPr="00436AD8">
        <w:rPr>
          <w:rFonts w:asciiTheme="minorHAnsi" w:hAnsiTheme="minorHAnsi" w:cstheme="minorHAnsi"/>
          <w:b w:val="0"/>
          <w:i w:val="0"/>
          <w:sz w:val="18"/>
          <w:szCs w:val="18"/>
        </w:rPr>
        <w:t>.</w:t>
      </w:r>
    </w:p>
    <w:p w:rsidR="008F6ABB" w:rsidRDefault="008F6ABB" w:rsidP="008F6ABB">
      <w:pPr>
        <w:pStyle w:val="CCTOCHeading"/>
        <w:rPr>
          <w:rFonts w:asciiTheme="minorHAnsi" w:hAnsiTheme="minorHAnsi" w:cstheme="minorHAnsi"/>
        </w:rPr>
      </w:pPr>
      <w:bookmarkStart w:id="47" w:name="_Toc504138802"/>
      <w:bookmarkStart w:id="48" w:name="_Toc504562617"/>
      <w:r w:rsidRPr="00436AD8">
        <w:rPr>
          <w:rFonts w:asciiTheme="minorHAnsi" w:hAnsiTheme="minorHAnsi" w:cstheme="minorHAnsi"/>
        </w:rPr>
        <w:t>Common</w:t>
      </w:r>
      <w:r w:rsidR="00B8557A" w:rsidRPr="00436AD8">
        <w:rPr>
          <w:rFonts w:asciiTheme="minorHAnsi" w:hAnsiTheme="minorHAnsi" w:cstheme="minorHAnsi"/>
        </w:rPr>
        <w:t xml:space="preserve"> </w:t>
      </w:r>
      <w:r w:rsidRPr="00436AD8">
        <w:rPr>
          <w:rFonts w:asciiTheme="minorHAnsi" w:hAnsiTheme="minorHAnsi" w:cstheme="minorHAnsi"/>
        </w:rPr>
        <w:t>words,</w:t>
      </w:r>
      <w:r w:rsidR="00B8557A" w:rsidRPr="00436AD8">
        <w:rPr>
          <w:rFonts w:asciiTheme="minorHAnsi" w:hAnsiTheme="minorHAnsi" w:cstheme="minorHAnsi"/>
        </w:rPr>
        <w:t xml:space="preserve"> </w:t>
      </w:r>
      <w:r w:rsidRPr="00436AD8">
        <w:rPr>
          <w:rFonts w:asciiTheme="minorHAnsi" w:hAnsiTheme="minorHAnsi" w:cstheme="minorHAnsi"/>
        </w:rPr>
        <w:t>phrases,</w:t>
      </w:r>
      <w:r w:rsidR="00B8557A" w:rsidRPr="00436AD8">
        <w:rPr>
          <w:rFonts w:asciiTheme="minorHAnsi" w:hAnsiTheme="minorHAnsi" w:cstheme="minorHAnsi"/>
        </w:rPr>
        <w:t xml:space="preserve"> </w:t>
      </w:r>
      <w:r w:rsidRPr="00436AD8">
        <w:rPr>
          <w:rFonts w:asciiTheme="minorHAnsi" w:hAnsiTheme="minorHAnsi" w:cstheme="minorHAnsi"/>
        </w:rPr>
        <w:t>and</w:t>
      </w:r>
      <w:r w:rsidR="00B8557A" w:rsidRPr="00436AD8">
        <w:rPr>
          <w:rFonts w:asciiTheme="minorHAnsi" w:hAnsiTheme="minorHAnsi" w:cstheme="minorHAnsi"/>
        </w:rPr>
        <w:t xml:space="preserve"> </w:t>
      </w:r>
      <w:r w:rsidRPr="00436AD8">
        <w:rPr>
          <w:rFonts w:asciiTheme="minorHAnsi" w:hAnsiTheme="minorHAnsi" w:cstheme="minorHAnsi"/>
        </w:rPr>
        <w:t>acronyms</w:t>
      </w:r>
      <w:bookmarkEnd w:id="47"/>
      <w:bookmarkEnd w:id="48"/>
    </w:p>
    <w:p w:rsidR="00E36FF6" w:rsidRPr="00436AD8" w:rsidRDefault="00E36FF6" w:rsidP="008F6ABB">
      <w:pPr>
        <w:pStyle w:val="CCTOCHeading"/>
        <w:rPr>
          <w:rFonts w:asciiTheme="minorHAnsi" w:hAnsiTheme="minorHAnsi" w:cstheme="minorHAnsi"/>
        </w:rPr>
        <w:sectPr w:rsidR="00E36FF6" w:rsidRPr="00436AD8" w:rsidSect="00E36FF6">
          <w:footerReference w:type="default" r:id="rId57"/>
          <w:footerReference w:type="first" r:id="rId58"/>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APOR</w:t>
            </w:r>
          </w:p>
        </w:tc>
        <w:tc>
          <w:tcPr>
            <w:tcW w:w="0" w:type="auto"/>
            <w:vAlign w:val="center"/>
            <w:hideMark/>
          </w:tcPr>
          <w:p w:rsidR="008F6ABB" w:rsidRPr="00436AD8" w:rsidRDefault="00C45A3D" w:rsidP="00EE1148">
            <w:pPr>
              <w:rPr>
                <w:rFonts w:cstheme="minorHAnsi"/>
              </w:rPr>
            </w:pPr>
            <w:r>
              <w:rPr>
                <w:rFonts w:cstheme="minorHAnsi"/>
              </w:rPr>
              <w:t>“</w:t>
            </w:r>
            <w:r w:rsidR="008F6ABB" w:rsidRPr="00436AD8">
              <w:rPr>
                <w:rFonts w:cstheme="minorHAnsi"/>
              </w:rPr>
              <w:t>Average</w:t>
            </w:r>
            <w:r w:rsidR="00B8557A" w:rsidRPr="00436AD8">
              <w:rPr>
                <w:rFonts w:cstheme="minorHAnsi"/>
              </w:rPr>
              <w:t xml:space="preserve"> </w:t>
            </w:r>
            <w:r w:rsidR="008F6ABB" w:rsidRPr="00436AD8">
              <w:rPr>
                <w:rFonts w:cstheme="minorHAnsi"/>
              </w:rPr>
              <w:t>Prime</w:t>
            </w:r>
            <w:r w:rsidR="00B8557A" w:rsidRPr="00436AD8">
              <w:rPr>
                <w:rFonts w:cstheme="minorHAnsi"/>
              </w:rPr>
              <w:t xml:space="preserve"> </w:t>
            </w:r>
            <w:r w:rsidR="008F6ABB" w:rsidRPr="00436AD8">
              <w:rPr>
                <w:rFonts w:cstheme="minorHAnsi"/>
              </w:rPr>
              <w:t>Offer</w:t>
            </w:r>
            <w:r w:rsidR="00B8557A" w:rsidRPr="00436AD8">
              <w:rPr>
                <w:rFonts w:cstheme="minorHAnsi"/>
              </w:rPr>
              <w:t xml:space="preserve"> </w:t>
            </w:r>
            <w:r w:rsidR="008F6ABB" w:rsidRPr="00436AD8">
              <w:rPr>
                <w:rFonts w:cstheme="minorHAnsi"/>
              </w:rPr>
              <w:t>Rates</w:t>
            </w:r>
            <w:r>
              <w:rPr>
                <w:rFonts w:cstheme="minorHAnsi"/>
              </w:rPr>
              <w:t>”</w:t>
            </w:r>
            <w:r w:rsidR="00B8557A" w:rsidRPr="00436AD8">
              <w:rPr>
                <w:rFonts w:cstheme="minorHAnsi"/>
              </w:rPr>
              <w:t xml:space="preserve"> </w:t>
            </w:r>
            <w:r w:rsidR="008F6ABB" w:rsidRPr="00436AD8">
              <w:rPr>
                <w:rFonts w:cstheme="minorHAnsi"/>
              </w:rPr>
              <w:t>are</w:t>
            </w:r>
            <w:r w:rsidR="00B8557A" w:rsidRPr="00436AD8">
              <w:rPr>
                <w:rFonts w:cstheme="minorHAnsi"/>
              </w:rPr>
              <w:t xml:space="preserve"> </w:t>
            </w:r>
            <w:r w:rsidR="008F6ABB" w:rsidRPr="00436AD8">
              <w:rPr>
                <w:rFonts w:cstheme="minorHAnsi"/>
              </w:rPr>
              <w:t>derived</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average</w:t>
            </w:r>
            <w:r w:rsidR="00B8557A" w:rsidRPr="00436AD8">
              <w:rPr>
                <w:rFonts w:cstheme="minorHAnsi"/>
              </w:rPr>
              <w:t xml:space="preserve"> </w:t>
            </w:r>
            <w:r w:rsidR="008F6ABB" w:rsidRPr="00436AD8">
              <w:rPr>
                <w:rFonts w:cstheme="minorHAnsi"/>
              </w:rPr>
              <w:t>interest</w:t>
            </w:r>
            <w:r w:rsidR="00B8557A" w:rsidRPr="00436AD8">
              <w:rPr>
                <w:rFonts w:cstheme="minorHAnsi"/>
              </w:rPr>
              <w:t xml:space="preserve"> </w:t>
            </w:r>
            <w:r w:rsidR="008F6ABB" w:rsidRPr="00436AD8">
              <w:rPr>
                <w:rFonts w:cstheme="minorHAnsi"/>
              </w:rPr>
              <w:t>rates,</w:t>
            </w:r>
            <w:r w:rsidR="00B8557A" w:rsidRPr="00436AD8">
              <w:rPr>
                <w:rFonts w:cstheme="minorHAnsi"/>
              </w:rPr>
              <w:t xml:space="preserve"> </w:t>
            </w:r>
            <w:r w:rsidR="008F6ABB" w:rsidRPr="00436AD8">
              <w:rPr>
                <w:rFonts w:cstheme="minorHAnsi"/>
              </w:rPr>
              <w:t>points,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other</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terms</w:t>
            </w:r>
            <w:r w:rsidR="00B8557A" w:rsidRPr="00436AD8">
              <w:rPr>
                <w:rFonts w:cstheme="minorHAnsi"/>
              </w:rPr>
              <w:t xml:space="preserve"> </w:t>
            </w:r>
            <w:r w:rsidR="008F6ABB" w:rsidRPr="00436AD8">
              <w:rPr>
                <w:rFonts w:cstheme="minorHAnsi"/>
              </w:rPr>
              <w:t>offered</w:t>
            </w:r>
            <w:r w:rsidR="00B8557A" w:rsidRPr="00436AD8">
              <w:rPr>
                <w:rFonts w:cstheme="minorHAnsi"/>
              </w:rPr>
              <w:t xml:space="preserve"> </w:t>
            </w:r>
            <w:r w:rsidR="008F6ABB" w:rsidRPr="00436AD8">
              <w:rPr>
                <w:rFonts w:cstheme="minorHAnsi"/>
              </w:rPr>
              <w:t>by</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representative</w:t>
            </w:r>
            <w:r w:rsidR="00B8557A" w:rsidRPr="00436AD8">
              <w:rPr>
                <w:rFonts w:cstheme="minorHAnsi"/>
              </w:rPr>
              <w:t xml:space="preserve"> </w:t>
            </w:r>
            <w:r w:rsidR="008F6ABB" w:rsidRPr="00436AD8">
              <w:rPr>
                <w:rFonts w:cstheme="minorHAnsi"/>
              </w:rPr>
              <w:t>sample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creditors</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mortgage</w:t>
            </w:r>
            <w:r w:rsidR="00B8557A" w:rsidRPr="00436AD8">
              <w:rPr>
                <w:rFonts w:cstheme="minorHAnsi"/>
              </w:rPr>
              <w:t xml:space="preserve"> </w:t>
            </w:r>
            <w:r w:rsidR="008F6ABB" w:rsidRPr="00436AD8">
              <w:rPr>
                <w:rFonts w:cstheme="minorHAnsi"/>
              </w:rPr>
              <w:t>transactions</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have</w:t>
            </w:r>
            <w:r w:rsidR="00B8557A" w:rsidRPr="00436AD8">
              <w:rPr>
                <w:rFonts w:cstheme="minorHAnsi"/>
              </w:rPr>
              <w:t xml:space="preserve"> </w:t>
            </w:r>
            <w:r w:rsidR="008F6ABB" w:rsidRPr="00436AD8">
              <w:rPr>
                <w:rFonts w:cstheme="minorHAnsi"/>
              </w:rPr>
              <w:t>low-risk</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characteristics.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CARD</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BA3B64" w:rsidP="00EE1148">
            <w:pPr>
              <w:rPr>
                <w:rFonts w:cstheme="minorHAnsi"/>
              </w:rPr>
            </w:pPr>
            <w:hyperlink r:id="rId59" w:history="1">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Card</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Responsibility</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2009</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CFPB</w:t>
            </w:r>
          </w:p>
        </w:tc>
        <w:tc>
          <w:tcPr>
            <w:tcW w:w="0" w:type="auto"/>
            <w:vAlign w:val="center"/>
            <w:hideMark/>
          </w:tcPr>
          <w:p w:rsidR="008F6ABB" w:rsidRPr="00436AD8" w:rsidRDefault="00BA3B64" w:rsidP="00EE1148">
            <w:pPr>
              <w:rPr>
                <w:rFonts w:cstheme="minorHAnsi"/>
              </w:rPr>
            </w:pPr>
            <w:hyperlink r:id="rId60" w:history="1">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Bureau</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lastRenderedPageBreak/>
              <w:t>CFR</w:t>
            </w:r>
          </w:p>
        </w:tc>
        <w:tc>
          <w:tcPr>
            <w:tcW w:w="0" w:type="auto"/>
            <w:vAlign w:val="center"/>
            <w:hideMark/>
          </w:tcPr>
          <w:p w:rsidR="008F6ABB" w:rsidRPr="00436AD8" w:rsidRDefault="00BA3B64" w:rsidP="00EE1148">
            <w:pPr>
              <w:rPr>
                <w:rFonts w:cstheme="minorHAnsi"/>
              </w:rPr>
            </w:pPr>
            <w:hyperlink r:id="rId61" w:history="1">
              <w:r w:rsidR="008F6ABB" w:rsidRPr="00436AD8">
                <w:rPr>
                  <w:rStyle w:val="Hyperlink"/>
                  <w:rFonts w:cstheme="minorHAnsi"/>
                </w:rPr>
                <w:t>Code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Regulations</w:t>
              </w:r>
            </w:hyperlink>
            <w:r w:rsidR="008F6ABB" w:rsidRPr="00436AD8">
              <w:rPr>
                <w:rFonts w:cstheme="minorHAnsi"/>
              </w:rPr>
              <w:t>.</w:t>
            </w:r>
            <w:r w:rsidR="00B8557A" w:rsidRPr="00436AD8">
              <w:rPr>
                <w:rFonts w:cstheme="minorHAnsi"/>
              </w:rPr>
              <w:t xml:space="preserve"> </w:t>
            </w:r>
            <w:r w:rsidR="008F6ABB" w:rsidRPr="00436AD8">
              <w:rPr>
                <w:rFonts w:cstheme="minorHAnsi"/>
              </w:rPr>
              <w:t>Codification</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rules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CRA</w:t>
            </w:r>
          </w:p>
        </w:tc>
        <w:tc>
          <w:tcPr>
            <w:tcW w:w="0" w:type="auto"/>
            <w:vAlign w:val="center"/>
            <w:hideMark/>
          </w:tcPr>
          <w:p w:rsidR="008F6ABB" w:rsidRPr="00436AD8" w:rsidRDefault="00BA3B64" w:rsidP="00EE1148">
            <w:pPr>
              <w:rPr>
                <w:rFonts w:cstheme="minorHAnsi"/>
              </w:rPr>
            </w:pPr>
            <w:hyperlink r:id="rId62" w:history="1">
              <w:r w:rsidR="008F6ABB" w:rsidRPr="00436AD8">
                <w:rPr>
                  <w:rStyle w:val="Hyperlink"/>
                  <w:rFonts w:cstheme="minorHAnsi"/>
                </w:rPr>
                <w:t>Community</w:t>
              </w:r>
              <w:r w:rsidR="00B8557A" w:rsidRPr="00436AD8">
                <w:rPr>
                  <w:rStyle w:val="Hyperlink"/>
                  <w:rFonts w:cstheme="minorHAnsi"/>
                </w:rPr>
                <w:t xml:space="preserve"> </w:t>
              </w:r>
              <w:r w:rsidR="008F6ABB" w:rsidRPr="00436AD8">
                <w:rPr>
                  <w:rStyle w:val="Hyperlink"/>
                  <w:rFonts w:cstheme="minorHAnsi"/>
                </w:rPr>
                <w:t>Reinvestment</w:t>
              </w:r>
              <w:r w:rsidR="00B8557A" w:rsidRPr="00436AD8">
                <w:rPr>
                  <w:rStyle w:val="Hyperlink"/>
                  <w:rFonts w:cstheme="minorHAnsi"/>
                </w:rPr>
                <w:t xml:space="preserve"> </w:t>
              </w:r>
              <w:r w:rsidR="008F6ABB" w:rsidRPr="00436AD8">
                <w:rPr>
                  <w:rStyle w:val="Hyperlink"/>
                  <w:rFonts w:cstheme="minorHAnsi"/>
                </w:rPr>
                <w:t>Act</w:t>
              </w:r>
            </w:hyperlink>
            <w:r w:rsidR="008F6ABB" w:rsidRPr="00436AD8">
              <w:rPr>
                <w:rFonts w:cstheme="minorHAnsi"/>
              </w:rPr>
              <w:t>.</w:t>
            </w:r>
            <w:r w:rsidR="00B8557A" w:rsidRPr="00436AD8">
              <w:rPr>
                <w:rFonts w:cstheme="minorHAnsi"/>
              </w:rPr>
              <w:t xml:space="preserve"> </w:t>
            </w:r>
            <w:r w:rsidR="008F6ABB" w:rsidRPr="00436AD8">
              <w:rPr>
                <w:rFonts w:cstheme="minorHAnsi"/>
              </w:rPr>
              <w:t>This</w:t>
            </w:r>
            <w:r w:rsidR="00B8557A" w:rsidRPr="00436AD8">
              <w:rPr>
                <w:rFonts w:cstheme="minorHAnsi"/>
              </w:rPr>
              <w:t xml:space="preserve"> </w:t>
            </w:r>
            <w:r w:rsidR="008F6ABB" w:rsidRPr="00436AD8">
              <w:rPr>
                <w:rFonts w:cstheme="minorHAnsi"/>
              </w:rPr>
              <w:t>Act</w:t>
            </w:r>
            <w:r w:rsidR="00B8557A" w:rsidRPr="00436AD8">
              <w:rPr>
                <w:rFonts w:cstheme="minorHAnsi"/>
              </w:rPr>
              <w:t xml:space="preserve"> </w:t>
            </w:r>
            <w:r w:rsidR="008F6ABB" w:rsidRPr="00436AD8">
              <w:rPr>
                <w:rFonts w:cstheme="minorHAnsi"/>
              </w:rPr>
              <w:t>is</w:t>
            </w:r>
            <w:r w:rsidR="00B8557A" w:rsidRPr="00436AD8">
              <w:rPr>
                <w:rFonts w:cstheme="minorHAnsi"/>
              </w:rPr>
              <w:t xml:space="preserve"> </w:t>
            </w:r>
            <w:r w:rsidR="008F6ABB" w:rsidRPr="00436AD8">
              <w:rPr>
                <w:rFonts w:cstheme="minorHAnsi"/>
              </w:rPr>
              <w:t>designed</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encourage</w:t>
            </w:r>
            <w:r w:rsidR="00B8557A" w:rsidRPr="00436AD8">
              <w:rPr>
                <w:rFonts w:cstheme="minorHAnsi"/>
              </w:rPr>
              <w:t xml:space="preserve"> </w:t>
            </w:r>
            <w:r w:rsidR="008F6ABB" w:rsidRPr="00436AD8">
              <w:rPr>
                <w:rFonts w:cstheme="minorHAnsi"/>
              </w:rPr>
              <w:t>loans</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all</w:t>
            </w:r>
            <w:r w:rsidR="00B8557A" w:rsidRPr="00436AD8">
              <w:rPr>
                <w:rFonts w:cstheme="minorHAnsi"/>
              </w:rPr>
              <w:t xml:space="preserve"> </w:t>
            </w:r>
            <w:r w:rsidR="008F6ABB" w:rsidRPr="00436AD8">
              <w:rPr>
                <w:rFonts w:cstheme="minorHAnsi"/>
              </w:rPr>
              <w:t>segments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communities.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CRE</w:t>
            </w:r>
          </w:p>
        </w:tc>
        <w:tc>
          <w:tcPr>
            <w:tcW w:w="0" w:type="auto"/>
            <w:vAlign w:val="center"/>
            <w:hideMark/>
          </w:tcPr>
          <w:p w:rsidR="008F6ABB" w:rsidRPr="00436AD8" w:rsidRDefault="008F6ABB" w:rsidP="00EE1148">
            <w:pPr>
              <w:rPr>
                <w:rFonts w:cstheme="minorHAnsi"/>
              </w:rPr>
            </w:pPr>
            <w:r w:rsidRPr="00436AD8">
              <w:rPr>
                <w:rFonts w:cstheme="minorHAnsi"/>
              </w:rPr>
              <w:t>Commercial</w:t>
            </w:r>
            <w:r w:rsidR="00B8557A" w:rsidRPr="00436AD8">
              <w:rPr>
                <w:rFonts w:cstheme="minorHAnsi"/>
              </w:rPr>
              <w:t xml:space="preserve"> </w:t>
            </w:r>
            <w:r w:rsidRPr="00436AD8">
              <w:rPr>
                <w:rFonts w:cstheme="minorHAnsi"/>
              </w:rPr>
              <w:t>Real</w:t>
            </w:r>
            <w:r w:rsidR="00B8557A" w:rsidRPr="00436AD8">
              <w:rPr>
                <w:rFonts w:cstheme="minorHAnsi"/>
              </w:rPr>
              <w:t xml:space="preserve"> </w:t>
            </w:r>
            <w:r w:rsidRPr="00436AD8">
              <w:rPr>
                <w:rFonts w:cstheme="minorHAnsi"/>
              </w:rPr>
              <w:t>Estate</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CSBS</w:t>
            </w:r>
          </w:p>
        </w:tc>
        <w:tc>
          <w:tcPr>
            <w:tcW w:w="0" w:type="auto"/>
            <w:vAlign w:val="center"/>
            <w:hideMark/>
          </w:tcPr>
          <w:p w:rsidR="008F6ABB" w:rsidRPr="00436AD8" w:rsidRDefault="00BA3B64" w:rsidP="00EE1148">
            <w:pPr>
              <w:rPr>
                <w:rFonts w:cstheme="minorHAnsi"/>
              </w:rPr>
            </w:pPr>
            <w:hyperlink r:id="rId63" w:history="1">
              <w:r w:rsidR="008F6ABB" w:rsidRPr="00436AD8">
                <w:rPr>
                  <w:rStyle w:val="Hyperlink"/>
                  <w:rFonts w:cstheme="minorHAnsi"/>
                </w:rPr>
                <w:t>Conference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State</w:t>
              </w:r>
              <w:r w:rsidR="00B8557A" w:rsidRPr="00436AD8">
                <w:rPr>
                  <w:rStyle w:val="Hyperlink"/>
                  <w:rFonts w:cstheme="minorHAnsi"/>
                </w:rPr>
                <w:t xml:space="preserve"> </w:t>
              </w:r>
              <w:r w:rsidR="008F6ABB" w:rsidRPr="00436AD8">
                <w:rPr>
                  <w:rStyle w:val="Hyperlink"/>
                  <w:rFonts w:cstheme="minorHAnsi"/>
                </w:rPr>
                <w:t>Bank</w:t>
              </w:r>
              <w:r w:rsidR="00B8557A" w:rsidRPr="00436AD8">
                <w:rPr>
                  <w:rStyle w:val="Hyperlink"/>
                  <w:rFonts w:cstheme="minorHAnsi"/>
                </w:rPr>
                <w:t xml:space="preserve"> </w:t>
              </w:r>
              <w:r w:rsidR="008F6ABB" w:rsidRPr="00436AD8">
                <w:rPr>
                  <w:rStyle w:val="Hyperlink"/>
                  <w:rFonts w:cstheme="minorHAnsi"/>
                </w:rPr>
                <w:t>Supervisors</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CTR</w:t>
            </w:r>
          </w:p>
        </w:tc>
        <w:tc>
          <w:tcPr>
            <w:tcW w:w="0" w:type="auto"/>
            <w:vAlign w:val="center"/>
            <w:hideMark/>
          </w:tcPr>
          <w:p w:rsidR="008F6ABB" w:rsidRPr="00436AD8" w:rsidRDefault="00BA3B64" w:rsidP="00EE1148">
            <w:pPr>
              <w:rPr>
                <w:rFonts w:cstheme="minorHAnsi"/>
              </w:rPr>
            </w:pPr>
            <w:hyperlink r:id="rId64" w:history="1">
              <w:r w:rsidR="008F6ABB" w:rsidRPr="00436AD8">
                <w:rPr>
                  <w:rStyle w:val="Hyperlink"/>
                  <w:rFonts w:cstheme="minorHAnsi"/>
                </w:rPr>
                <w:t>Currency</w:t>
              </w:r>
              <w:r w:rsidR="00B8557A" w:rsidRPr="00436AD8">
                <w:rPr>
                  <w:rStyle w:val="Hyperlink"/>
                  <w:rFonts w:cstheme="minorHAnsi"/>
                </w:rPr>
                <w:t xml:space="preserve"> </w:t>
              </w:r>
              <w:r w:rsidR="008F6ABB" w:rsidRPr="00436AD8">
                <w:rPr>
                  <w:rStyle w:val="Hyperlink"/>
                  <w:rFonts w:cstheme="minorHAnsi"/>
                </w:rPr>
                <w:t>Transaction</w:t>
              </w:r>
              <w:r w:rsidR="00B8557A" w:rsidRPr="00436AD8">
                <w:rPr>
                  <w:rStyle w:val="Hyperlink"/>
                  <w:rFonts w:cstheme="minorHAnsi"/>
                </w:rPr>
                <w:t xml:space="preserve"> </w:t>
              </w:r>
              <w:r w:rsidR="008F6ABB" w:rsidRPr="00436AD8">
                <w:rPr>
                  <w:rStyle w:val="Hyperlink"/>
                  <w:rFonts w:cstheme="minorHAnsi"/>
                </w:rPr>
                <w:t>Report</w:t>
              </w:r>
            </w:hyperlink>
            <w:r w:rsidR="008F6ABB" w:rsidRPr="00436AD8">
              <w:rPr>
                <w:rFonts w:cstheme="minorHAnsi"/>
              </w:rPr>
              <w:t>.</w:t>
            </w:r>
            <w:r w:rsidR="00B8557A" w:rsidRPr="00436AD8">
              <w:rPr>
                <w:rFonts w:cstheme="minorHAnsi"/>
              </w:rPr>
              <w:t xml:space="preserve"> </w:t>
            </w:r>
            <w:r w:rsidR="008F6ABB" w:rsidRPr="00436AD8">
              <w:rPr>
                <w:rFonts w:cstheme="minorHAnsi"/>
              </w:rPr>
              <w:t>Filed</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each</w:t>
            </w:r>
            <w:r w:rsidR="00B8557A" w:rsidRPr="00436AD8">
              <w:rPr>
                <w:rFonts w:cstheme="minorHAnsi"/>
              </w:rPr>
              <w:t xml:space="preserve"> </w:t>
            </w:r>
            <w:r w:rsidR="008F6ABB" w:rsidRPr="00436AD8">
              <w:rPr>
                <w:rFonts w:cstheme="minorHAnsi"/>
              </w:rPr>
              <w:t>deposit,</w:t>
            </w:r>
            <w:r w:rsidR="00B8557A" w:rsidRPr="00436AD8">
              <w:rPr>
                <w:rFonts w:cstheme="minorHAnsi"/>
              </w:rPr>
              <w:t xml:space="preserve"> </w:t>
            </w:r>
            <w:r w:rsidR="008F6ABB" w:rsidRPr="00436AD8">
              <w:rPr>
                <w:rFonts w:cstheme="minorHAnsi"/>
              </w:rPr>
              <w:t>withdrawal,</w:t>
            </w:r>
            <w:r w:rsidR="00B8557A" w:rsidRPr="00436AD8">
              <w:rPr>
                <w:rFonts w:cstheme="minorHAnsi"/>
              </w:rPr>
              <w:t xml:space="preserve"> </w:t>
            </w:r>
            <w:r w:rsidR="008F6ABB" w:rsidRPr="00436AD8">
              <w:rPr>
                <w:rFonts w:cstheme="minorHAnsi"/>
              </w:rPr>
              <w:t>exchange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involves</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transaction</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more</w:t>
            </w:r>
            <w:r w:rsidR="00B8557A" w:rsidRPr="00436AD8">
              <w:rPr>
                <w:rFonts w:cstheme="minorHAnsi"/>
              </w:rPr>
              <w:t xml:space="preserve"> </w:t>
            </w:r>
            <w:r w:rsidR="008F6ABB" w:rsidRPr="00436AD8">
              <w:rPr>
                <w:rFonts w:cstheme="minorHAnsi"/>
              </w:rPr>
              <w:t>than</w:t>
            </w:r>
            <w:r w:rsidR="00B8557A" w:rsidRPr="00436AD8">
              <w:rPr>
                <w:rFonts w:cstheme="minorHAnsi"/>
              </w:rPr>
              <w:t xml:space="preserve"> </w:t>
            </w:r>
            <w:r w:rsidR="008F6ABB" w:rsidRPr="00436AD8">
              <w:rPr>
                <w:rFonts w:cstheme="minorHAnsi"/>
              </w:rPr>
              <w:t>$10,000.</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Dodd-Frank</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BA3B64" w:rsidP="00EE1148">
            <w:pPr>
              <w:rPr>
                <w:rFonts w:cstheme="minorHAnsi"/>
              </w:rPr>
            </w:pPr>
            <w:hyperlink r:id="rId65" w:history="1">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Dodd–Frank</w:t>
              </w:r>
              <w:r w:rsidR="00B8557A" w:rsidRPr="00436AD8">
                <w:rPr>
                  <w:rStyle w:val="Hyperlink"/>
                  <w:rFonts w:cstheme="minorHAnsi"/>
                </w:rPr>
                <w:t xml:space="preserve"> </w:t>
              </w:r>
              <w:r w:rsidR="008F6ABB" w:rsidRPr="00436AD8">
                <w:rPr>
                  <w:rStyle w:val="Hyperlink"/>
                  <w:rFonts w:cstheme="minorHAnsi"/>
                </w:rPr>
                <w:t>Wall</w:t>
              </w:r>
              <w:r w:rsidR="00B8557A" w:rsidRPr="00436AD8">
                <w:rPr>
                  <w:rStyle w:val="Hyperlink"/>
                  <w:rFonts w:cstheme="minorHAnsi"/>
                </w:rPr>
                <w:t xml:space="preserve"> </w:t>
              </w:r>
              <w:r w:rsidR="008F6ABB" w:rsidRPr="00436AD8">
                <w:rPr>
                  <w:rStyle w:val="Hyperlink"/>
                  <w:rFonts w:cstheme="minorHAnsi"/>
                </w:rPr>
                <w:t>Street</w:t>
              </w:r>
              <w:r w:rsidR="00B8557A" w:rsidRPr="00436AD8">
                <w:rPr>
                  <w:rStyle w:val="Hyperlink"/>
                  <w:rFonts w:cstheme="minorHAnsi"/>
                </w:rPr>
                <w:t xml:space="preserve"> </w:t>
              </w:r>
              <w:r w:rsidR="008F6ABB" w:rsidRPr="00436AD8">
                <w:rPr>
                  <w:rStyle w:val="Hyperlink"/>
                  <w:rFonts w:cstheme="minorHAnsi"/>
                </w:rPr>
                <w:t>Reform</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DOJ</w:t>
            </w:r>
          </w:p>
        </w:tc>
        <w:tc>
          <w:tcPr>
            <w:tcW w:w="0" w:type="auto"/>
            <w:vAlign w:val="center"/>
            <w:hideMark/>
          </w:tcPr>
          <w:p w:rsidR="008F6ABB" w:rsidRPr="00436AD8" w:rsidRDefault="00BA3B64" w:rsidP="00EE1148">
            <w:pPr>
              <w:rPr>
                <w:rFonts w:cstheme="minorHAnsi"/>
              </w:rPr>
            </w:pPr>
            <w:hyperlink r:id="rId66" w:history="1">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Justice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p>
        </w:tc>
        <w:tc>
          <w:tcPr>
            <w:tcW w:w="0" w:type="auto"/>
            <w:vAlign w:val="center"/>
            <w:hideMark/>
          </w:tcPr>
          <w:p w:rsidR="008F6ABB" w:rsidRPr="00436AD8" w:rsidRDefault="00BA3B64" w:rsidP="00EE1148">
            <w:pPr>
              <w:rPr>
                <w:rFonts w:cstheme="minorHAnsi"/>
              </w:rPr>
            </w:pPr>
            <w:hyperlink r:id="rId67"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Deposit</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Corporation</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EFTA</w:t>
            </w:r>
          </w:p>
        </w:tc>
        <w:tc>
          <w:tcPr>
            <w:tcW w:w="0" w:type="auto"/>
            <w:vAlign w:val="center"/>
            <w:hideMark/>
          </w:tcPr>
          <w:p w:rsidR="008F6ABB" w:rsidRPr="00436AD8" w:rsidRDefault="00BA3B64" w:rsidP="00EE1148">
            <w:pPr>
              <w:rPr>
                <w:rFonts w:cstheme="minorHAnsi"/>
              </w:rPr>
            </w:pPr>
            <w:hyperlink r:id="rId68"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bank</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financial</w:t>
            </w:r>
            <w:r w:rsidR="00B8557A" w:rsidRPr="00436AD8">
              <w:rPr>
                <w:rFonts w:cstheme="minorHAnsi"/>
              </w:rPr>
              <w:t xml:space="preserve"> </w:t>
            </w:r>
            <w:r w:rsidRPr="00436AD8">
              <w:rPr>
                <w:rFonts w:cstheme="minorHAnsi"/>
              </w:rPr>
              <w:t>institution</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CFPB,</w:t>
            </w:r>
            <w:r w:rsidR="00B8557A" w:rsidRPr="00436AD8">
              <w:rPr>
                <w:rFonts w:cstheme="minorHAnsi"/>
              </w:rPr>
              <w:t xml:space="preserve"> </w:t>
            </w: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NCUA,</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FEMA</w:t>
            </w:r>
          </w:p>
        </w:tc>
        <w:tc>
          <w:tcPr>
            <w:tcW w:w="0" w:type="auto"/>
            <w:vAlign w:val="center"/>
            <w:hideMark/>
          </w:tcPr>
          <w:p w:rsidR="008F6ABB" w:rsidRPr="00436AD8" w:rsidRDefault="00BA3B64" w:rsidP="00EE1148">
            <w:pPr>
              <w:rPr>
                <w:rFonts w:cstheme="minorHAnsi"/>
              </w:rPr>
            </w:pPr>
            <w:hyperlink r:id="rId69"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Emergency</w:t>
              </w:r>
              <w:r w:rsidR="00B8557A" w:rsidRPr="00436AD8">
                <w:rPr>
                  <w:rStyle w:val="Hyperlink"/>
                  <w:rFonts w:cstheme="minorHAnsi"/>
                </w:rPr>
                <w:t xml:space="preserve"> </w:t>
              </w:r>
              <w:r w:rsidR="008F6ABB" w:rsidRPr="00436AD8">
                <w:rPr>
                  <w:rStyle w:val="Hyperlink"/>
                  <w:rFonts w:cstheme="minorHAnsi"/>
                </w:rPr>
                <w:t>Management</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FFIEC</w:t>
            </w:r>
          </w:p>
        </w:tc>
        <w:tc>
          <w:tcPr>
            <w:tcW w:w="0" w:type="auto"/>
            <w:vAlign w:val="center"/>
            <w:hideMark/>
          </w:tcPr>
          <w:p w:rsidR="008F6ABB" w:rsidRPr="00436AD8" w:rsidRDefault="00BA3B64" w:rsidP="00EE1148">
            <w:pPr>
              <w:rPr>
                <w:rFonts w:cstheme="minorHAnsi"/>
              </w:rPr>
            </w:pPr>
            <w:hyperlink r:id="rId70"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Institutions</w:t>
              </w:r>
              <w:r w:rsidR="00B8557A" w:rsidRPr="00436AD8">
                <w:rPr>
                  <w:rStyle w:val="Hyperlink"/>
                  <w:rFonts w:cstheme="minorHAnsi"/>
                </w:rPr>
                <w:t xml:space="preserve"> </w:t>
              </w:r>
              <w:r w:rsidR="008F6ABB" w:rsidRPr="00436AD8">
                <w:rPr>
                  <w:rStyle w:val="Hyperlink"/>
                  <w:rFonts w:cstheme="minorHAnsi"/>
                </w:rPr>
                <w:t>Examination</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FHFA</w:t>
            </w:r>
          </w:p>
        </w:tc>
        <w:tc>
          <w:tcPr>
            <w:tcW w:w="0" w:type="auto"/>
            <w:vAlign w:val="center"/>
            <w:hideMark/>
          </w:tcPr>
          <w:p w:rsidR="008F6ABB" w:rsidRPr="00436AD8" w:rsidRDefault="00BA3B64" w:rsidP="00EE1148">
            <w:pPr>
              <w:rPr>
                <w:rFonts w:cstheme="minorHAnsi"/>
              </w:rPr>
            </w:pPr>
            <w:hyperlink r:id="rId71"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Finance</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FHA</w:t>
            </w:r>
          </w:p>
        </w:tc>
        <w:tc>
          <w:tcPr>
            <w:tcW w:w="0" w:type="auto"/>
            <w:vAlign w:val="center"/>
            <w:hideMark/>
          </w:tcPr>
          <w:p w:rsidR="008F6ABB" w:rsidRPr="00436AD8" w:rsidRDefault="00BA3B64" w:rsidP="00EE1148">
            <w:pPr>
              <w:rPr>
                <w:rFonts w:cstheme="minorHAnsi"/>
              </w:rPr>
            </w:pPr>
            <w:hyperlink r:id="rId72"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Administration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FinCEN</w:t>
            </w:r>
          </w:p>
        </w:tc>
        <w:tc>
          <w:tcPr>
            <w:tcW w:w="0" w:type="auto"/>
            <w:vAlign w:val="center"/>
            <w:hideMark/>
          </w:tcPr>
          <w:p w:rsidR="008F6ABB" w:rsidRPr="00436AD8" w:rsidRDefault="00BA3B64" w:rsidP="00EE1148">
            <w:pPr>
              <w:rPr>
                <w:rFonts w:cstheme="minorHAnsi"/>
              </w:rPr>
            </w:pPr>
            <w:hyperlink r:id="rId73"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Crime</w:t>
              </w:r>
              <w:r w:rsidR="00B8557A" w:rsidRPr="00436AD8">
                <w:rPr>
                  <w:rStyle w:val="Hyperlink"/>
                  <w:rFonts w:cstheme="minorHAnsi"/>
                </w:rPr>
                <w:t xml:space="preserve"> </w:t>
              </w:r>
              <w:r w:rsidR="008F6ABB" w:rsidRPr="00436AD8">
                <w:rPr>
                  <w:rStyle w:val="Hyperlink"/>
                  <w:rFonts w:cstheme="minorHAnsi"/>
                </w:rPr>
                <w:t>Enforcement</w:t>
              </w:r>
              <w:r w:rsidR="00B8557A" w:rsidRPr="00436AD8">
                <w:rPr>
                  <w:rStyle w:val="Hyperlink"/>
                  <w:rFonts w:cstheme="minorHAnsi"/>
                </w:rPr>
                <w:t xml:space="preserve"> </w:t>
              </w:r>
              <w:r w:rsidR="008F6ABB" w:rsidRPr="00436AD8">
                <w:rPr>
                  <w:rStyle w:val="Hyperlink"/>
                  <w:rFonts w:cstheme="minorHAnsi"/>
                </w:rPr>
                <w:t>Network</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FR</w:t>
            </w:r>
          </w:p>
        </w:tc>
        <w:tc>
          <w:tcPr>
            <w:tcW w:w="0" w:type="auto"/>
            <w:vAlign w:val="center"/>
            <w:hideMark/>
          </w:tcPr>
          <w:p w:rsidR="008F6ABB" w:rsidRPr="00436AD8" w:rsidRDefault="00BA3B64" w:rsidP="00EE1148">
            <w:pPr>
              <w:rPr>
                <w:rFonts w:cstheme="minorHAnsi"/>
              </w:rPr>
            </w:pPr>
            <w:hyperlink r:id="rId74"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Register</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daily</w:t>
            </w:r>
            <w:r w:rsidR="00B8557A" w:rsidRPr="00436AD8">
              <w:rPr>
                <w:rFonts w:cstheme="minorHAnsi"/>
              </w:rPr>
              <w:t xml:space="preserve"> </w:t>
            </w:r>
            <w:r w:rsidR="008F6ABB" w:rsidRPr="00436AD8">
              <w:rPr>
                <w:rFonts w:cstheme="minorHAnsi"/>
              </w:rPr>
              <w:t>publication</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contains</w:t>
            </w:r>
            <w:r w:rsidR="00B8557A" w:rsidRPr="00436AD8">
              <w:rPr>
                <w:rFonts w:cstheme="minorHAnsi"/>
              </w:rPr>
              <w:t xml:space="preserve"> </w:t>
            </w:r>
            <w:r w:rsidR="008F6ABB" w:rsidRPr="00436AD8">
              <w:rPr>
                <w:rFonts w:cstheme="minorHAnsi"/>
              </w:rPr>
              <w:t>proposed</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final</w:t>
            </w:r>
            <w:r w:rsidR="00B8557A" w:rsidRPr="00436AD8">
              <w:rPr>
                <w:rFonts w:cstheme="minorHAnsi"/>
              </w:rPr>
              <w:t xml:space="preserve"> </w:t>
            </w:r>
            <w:r w:rsidR="008F6ABB" w:rsidRPr="00436AD8">
              <w:rPr>
                <w:rFonts w:cstheme="minorHAnsi"/>
              </w:rPr>
              <w:t>administrative</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FE03DD" w:rsidP="00EE1148">
            <w:pPr>
              <w:rPr>
                <w:rFonts w:cstheme="minorHAnsi"/>
              </w:rPr>
            </w:pPr>
            <w:r w:rsidRPr="00436AD8">
              <w:rPr>
                <w:rFonts w:cstheme="minorHAnsi"/>
              </w:rPr>
              <w:t>FRB,</w:t>
            </w:r>
            <w:r w:rsidR="00B8557A" w:rsidRPr="00436AD8">
              <w:rPr>
                <w:rFonts w:cstheme="minorHAnsi"/>
              </w:rPr>
              <w:t xml:space="preserve"> </w:t>
            </w:r>
            <w:r w:rsidRPr="00436AD8">
              <w:rPr>
                <w:rFonts w:cstheme="minorHAnsi"/>
              </w:rPr>
              <w:t>Fed</w:t>
            </w:r>
            <w:r w:rsidR="00B8557A" w:rsidRPr="00436AD8">
              <w:rPr>
                <w:rFonts w:cstheme="minorHAnsi"/>
              </w:rPr>
              <w:t xml:space="preserve"> </w:t>
            </w:r>
            <w:r w:rsidRPr="00436AD8">
              <w:rPr>
                <w:rFonts w:cstheme="minorHAnsi"/>
              </w:rPr>
              <w:t>or</w:t>
            </w:r>
            <w:r w:rsidR="00B8557A" w:rsidRPr="00436AD8">
              <w:rPr>
                <w:rFonts w:cstheme="minorHAnsi"/>
              </w:rPr>
              <w:t xml:space="preserve"> </w:t>
            </w:r>
            <w:r w:rsidRPr="00436AD8">
              <w:rPr>
                <w:rFonts w:cstheme="minorHAnsi"/>
              </w:rPr>
              <w:t>Federal</w:t>
            </w:r>
            <w:r w:rsidR="00B8557A" w:rsidRPr="00436AD8">
              <w:rPr>
                <w:rFonts w:cstheme="minorHAnsi"/>
              </w:rPr>
              <w:t xml:space="preserve"> </w:t>
            </w:r>
            <w:r w:rsidRPr="00436AD8">
              <w:rPr>
                <w:rFonts w:cstheme="minorHAnsi"/>
              </w:rPr>
              <w:t>Reserve</w:t>
            </w:r>
          </w:p>
        </w:tc>
        <w:tc>
          <w:tcPr>
            <w:tcW w:w="0" w:type="auto"/>
            <w:vAlign w:val="center"/>
            <w:hideMark/>
          </w:tcPr>
          <w:p w:rsidR="008F6ABB" w:rsidRPr="00436AD8" w:rsidRDefault="00BA3B64" w:rsidP="00EE1148">
            <w:pPr>
              <w:rPr>
                <w:rFonts w:cstheme="minorHAnsi"/>
              </w:rPr>
            </w:pPr>
            <w:hyperlink r:id="rId75"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Reserve</w:t>
              </w:r>
              <w:r w:rsidR="00B8557A" w:rsidRPr="00436AD8">
                <w:rPr>
                  <w:rStyle w:val="Hyperlink"/>
                  <w:rFonts w:cstheme="minorHAnsi"/>
                </w:rPr>
                <w:t xml:space="preserve"> </w:t>
              </w:r>
              <w:r w:rsidR="008F6ABB" w:rsidRPr="00436AD8">
                <w:rPr>
                  <w:rStyle w:val="Hyperlink"/>
                  <w:rFonts w:cstheme="minorHAnsi"/>
                </w:rPr>
                <w:t>Board</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FSOC</w:t>
            </w:r>
          </w:p>
        </w:tc>
        <w:tc>
          <w:tcPr>
            <w:tcW w:w="0" w:type="auto"/>
            <w:vAlign w:val="center"/>
          </w:tcPr>
          <w:p w:rsidR="008F6ABB" w:rsidRPr="00436AD8" w:rsidRDefault="00BA3B64" w:rsidP="00EE1148">
            <w:pPr>
              <w:rPr>
                <w:rFonts w:cstheme="minorHAnsi"/>
              </w:rPr>
            </w:pPr>
            <w:hyperlink r:id="rId76"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Stability</w:t>
              </w:r>
              <w:r w:rsidR="00B8557A" w:rsidRPr="00436AD8">
                <w:rPr>
                  <w:rStyle w:val="Hyperlink"/>
                  <w:rFonts w:cstheme="minorHAnsi"/>
                </w:rPr>
                <w:t xml:space="preserve"> </w:t>
              </w:r>
              <w:r w:rsidR="008F6ABB" w:rsidRPr="00436AD8">
                <w:rPr>
                  <w:rStyle w:val="Hyperlink"/>
                  <w:rFonts w:cstheme="minorHAnsi"/>
                </w:rPr>
                <w:t>Oversight</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FTC</w:t>
            </w:r>
          </w:p>
        </w:tc>
        <w:tc>
          <w:tcPr>
            <w:tcW w:w="0" w:type="auto"/>
            <w:vAlign w:val="center"/>
            <w:hideMark/>
          </w:tcPr>
          <w:p w:rsidR="008F6ABB" w:rsidRPr="00436AD8" w:rsidRDefault="00BA3B64" w:rsidP="00EE1148">
            <w:pPr>
              <w:rPr>
                <w:rFonts w:cstheme="minorHAnsi"/>
              </w:rPr>
            </w:pPr>
            <w:hyperlink r:id="rId77"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Trade</w:t>
              </w:r>
              <w:r w:rsidR="00B8557A" w:rsidRPr="00436AD8">
                <w:rPr>
                  <w:rStyle w:val="Hyperlink"/>
                  <w:rFonts w:cstheme="minorHAnsi"/>
                </w:rPr>
                <w:t xml:space="preserve"> </w:t>
              </w:r>
              <w:r w:rsidR="008F6ABB" w:rsidRPr="00436AD8">
                <w:rPr>
                  <w:rStyle w:val="Hyperlink"/>
                  <w:rFonts w:cstheme="minorHAnsi"/>
                </w:rPr>
                <w:t>Commission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GAO</w:t>
            </w:r>
          </w:p>
        </w:tc>
        <w:tc>
          <w:tcPr>
            <w:tcW w:w="0" w:type="auto"/>
            <w:vAlign w:val="center"/>
            <w:hideMark/>
          </w:tcPr>
          <w:p w:rsidR="008F6ABB" w:rsidRPr="00436AD8" w:rsidRDefault="00BA3B64" w:rsidP="00EE1148">
            <w:pPr>
              <w:rPr>
                <w:rFonts w:cstheme="minorHAnsi"/>
              </w:rPr>
            </w:pPr>
            <w:hyperlink r:id="rId78" w:history="1">
              <w:r w:rsidR="008F6ABB" w:rsidRPr="00436AD8">
                <w:rPr>
                  <w:rStyle w:val="Hyperlink"/>
                  <w:rFonts w:cstheme="minorHAnsi"/>
                </w:rPr>
                <w:t>Government</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Office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HARP</w:t>
            </w:r>
          </w:p>
        </w:tc>
        <w:tc>
          <w:tcPr>
            <w:tcW w:w="0" w:type="auto"/>
            <w:vAlign w:val="center"/>
          </w:tcPr>
          <w:p w:rsidR="008F6ABB" w:rsidRPr="00436AD8" w:rsidRDefault="00BA3B64" w:rsidP="00EE1148">
            <w:pPr>
              <w:rPr>
                <w:rFonts w:cstheme="minorHAnsi"/>
              </w:rPr>
            </w:pPr>
            <w:hyperlink r:id="rId79"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Refinance</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HAMP</w:t>
            </w:r>
          </w:p>
        </w:tc>
        <w:tc>
          <w:tcPr>
            <w:tcW w:w="0" w:type="auto"/>
            <w:vAlign w:val="center"/>
          </w:tcPr>
          <w:p w:rsidR="008F6ABB" w:rsidRPr="00436AD8" w:rsidRDefault="00BA3B64" w:rsidP="00EE1148">
            <w:pPr>
              <w:rPr>
                <w:rFonts w:cstheme="minorHAnsi"/>
              </w:rPr>
            </w:pPr>
            <w:hyperlink r:id="rId80"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Modification</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HMDA</w:t>
            </w:r>
          </w:p>
        </w:tc>
        <w:tc>
          <w:tcPr>
            <w:tcW w:w="0" w:type="auto"/>
            <w:vAlign w:val="center"/>
            <w:hideMark/>
          </w:tcPr>
          <w:p w:rsidR="008F6ABB" w:rsidRPr="00436AD8" w:rsidRDefault="00BA3B64" w:rsidP="00EE1148">
            <w:pPr>
              <w:rPr>
                <w:rFonts w:cstheme="minorHAnsi"/>
              </w:rPr>
            </w:pPr>
            <w:hyperlink r:id="rId81"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HOEPA</w:t>
            </w:r>
          </w:p>
        </w:tc>
        <w:tc>
          <w:tcPr>
            <w:tcW w:w="0" w:type="auto"/>
            <w:vAlign w:val="center"/>
            <w:hideMark/>
          </w:tcPr>
          <w:p w:rsidR="008F6ABB" w:rsidRPr="00436AD8" w:rsidRDefault="00BA3B64" w:rsidP="00EE1148">
            <w:pPr>
              <w:rPr>
                <w:rFonts w:cstheme="minorHAnsi"/>
              </w:rPr>
            </w:pPr>
            <w:hyperlink r:id="rId82"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Ownership</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Equity</w:t>
              </w:r>
              <w:r w:rsidR="00B8557A" w:rsidRPr="00436AD8">
                <w:rPr>
                  <w:rStyle w:val="Hyperlink"/>
                  <w:rFonts w:cstheme="minorHAnsi"/>
                </w:rPr>
                <w:t xml:space="preserve"> </w:t>
              </w:r>
              <w:r w:rsidR="008F6ABB" w:rsidRPr="00436AD8">
                <w:rPr>
                  <w:rStyle w:val="Hyperlink"/>
                  <w:rFonts w:cstheme="minorHAnsi"/>
                </w:rPr>
                <w:t>Protections</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1994</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HPML</w:t>
            </w:r>
          </w:p>
        </w:tc>
        <w:tc>
          <w:tcPr>
            <w:tcW w:w="0" w:type="auto"/>
            <w:vAlign w:val="center"/>
            <w:hideMark/>
          </w:tcPr>
          <w:p w:rsidR="008F6ABB" w:rsidRPr="00436AD8" w:rsidRDefault="00BA3B64" w:rsidP="00EE1148">
            <w:pPr>
              <w:rPr>
                <w:rFonts w:cstheme="minorHAnsi"/>
              </w:rPr>
            </w:pPr>
            <w:hyperlink r:id="rId83" w:history="1">
              <w:r w:rsidR="008F6ABB" w:rsidRPr="00436AD8">
                <w:rPr>
                  <w:rStyle w:val="Hyperlink"/>
                  <w:rFonts w:cstheme="minorHAnsi"/>
                </w:rPr>
                <w:t>Higher</w:t>
              </w:r>
              <w:r w:rsidR="00B8557A" w:rsidRPr="00436AD8">
                <w:rPr>
                  <w:rStyle w:val="Hyperlink"/>
                  <w:rFonts w:cstheme="minorHAnsi"/>
                </w:rPr>
                <w:t xml:space="preserve"> </w:t>
              </w:r>
              <w:r w:rsidR="008F6ABB" w:rsidRPr="00436AD8">
                <w:rPr>
                  <w:rStyle w:val="Hyperlink"/>
                  <w:rFonts w:cstheme="minorHAnsi"/>
                </w:rPr>
                <w:t>Priced</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Loan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HUD</w:t>
            </w:r>
          </w:p>
        </w:tc>
        <w:tc>
          <w:tcPr>
            <w:tcW w:w="0" w:type="auto"/>
            <w:vAlign w:val="center"/>
            <w:hideMark/>
          </w:tcPr>
          <w:p w:rsidR="008F6ABB" w:rsidRPr="00436AD8" w:rsidRDefault="00BA3B64" w:rsidP="00EE1148">
            <w:pPr>
              <w:rPr>
                <w:rFonts w:cstheme="minorHAnsi"/>
              </w:rPr>
            </w:pPr>
            <w:hyperlink r:id="rId84" w:history="1">
              <w:r w:rsidR="008F6ABB" w:rsidRPr="00436AD8">
                <w:rPr>
                  <w:rStyle w:val="Hyperlink"/>
                  <w:rFonts w:cstheme="minorHAnsi"/>
                </w:rPr>
                <w:t>U.S.</w:t>
              </w:r>
              <w:r w:rsidR="00B8557A" w:rsidRPr="00436AD8">
                <w:rPr>
                  <w:rStyle w:val="Hyperlink"/>
                  <w:rFonts w:cstheme="minorHAnsi"/>
                </w:rPr>
                <w:t xml:space="preserve"> </w:t>
              </w:r>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Urban</w:t>
              </w:r>
              <w:r w:rsidR="00B8557A" w:rsidRPr="00436AD8">
                <w:rPr>
                  <w:rStyle w:val="Hyperlink"/>
                  <w:rFonts w:cstheme="minorHAnsi"/>
                </w:rPr>
                <w:t xml:space="preserve"> </w:t>
              </w:r>
              <w:r w:rsidR="008F6ABB" w:rsidRPr="00436AD8">
                <w:rPr>
                  <w:rStyle w:val="Hyperlink"/>
                  <w:rFonts w:cstheme="minorHAnsi"/>
                </w:rPr>
                <w:t>Development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IRS</w:t>
            </w:r>
          </w:p>
        </w:tc>
        <w:tc>
          <w:tcPr>
            <w:tcW w:w="0" w:type="auto"/>
            <w:vAlign w:val="center"/>
            <w:hideMark/>
          </w:tcPr>
          <w:p w:rsidR="008F6ABB" w:rsidRPr="00436AD8" w:rsidRDefault="00BA3B64" w:rsidP="00EE1148">
            <w:pPr>
              <w:rPr>
                <w:rFonts w:cstheme="minorHAnsi"/>
              </w:rPr>
            </w:pPr>
            <w:hyperlink r:id="rId85" w:history="1">
              <w:r w:rsidR="008F6ABB" w:rsidRPr="00436AD8">
                <w:rPr>
                  <w:rStyle w:val="Hyperlink"/>
                  <w:rFonts w:cstheme="minorHAnsi"/>
                </w:rPr>
                <w:t>Internal</w:t>
              </w:r>
              <w:r w:rsidR="00B8557A" w:rsidRPr="00436AD8">
                <w:rPr>
                  <w:rStyle w:val="Hyperlink"/>
                  <w:rFonts w:cstheme="minorHAnsi"/>
                </w:rPr>
                <w:t xml:space="preserve"> </w:t>
              </w:r>
              <w:r w:rsidR="008F6ABB" w:rsidRPr="00436AD8">
                <w:rPr>
                  <w:rStyle w:val="Hyperlink"/>
                  <w:rFonts w:cstheme="minorHAnsi"/>
                </w:rPr>
                <w:t>Revenue</w:t>
              </w:r>
              <w:r w:rsidR="00B8557A" w:rsidRPr="00436AD8">
                <w:rPr>
                  <w:rStyle w:val="Hyperlink"/>
                  <w:rFonts w:cstheme="minorHAnsi"/>
                </w:rPr>
                <w:t xml:space="preserve"> </w:t>
              </w:r>
              <w:r w:rsidR="008F6ABB" w:rsidRPr="00436AD8">
                <w:rPr>
                  <w:rStyle w:val="Hyperlink"/>
                  <w:rFonts w:cstheme="minorHAnsi"/>
                </w:rPr>
                <w:t>Service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MLO</w:t>
            </w:r>
          </w:p>
        </w:tc>
        <w:tc>
          <w:tcPr>
            <w:tcW w:w="0" w:type="auto"/>
            <w:vAlign w:val="center"/>
            <w:hideMark/>
          </w:tcPr>
          <w:p w:rsidR="008F6ABB" w:rsidRPr="00436AD8" w:rsidRDefault="008F6ABB" w:rsidP="00EE1148">
            <w:pPr>
              <w:rPr>
                <w:rFonts w:cstheme="minorHAnsi"/>
              </w:rPr>
            </w:pPr>
            <w:r w:rsidRPr="00436AD8">
              <w:rPr>
                <w:rFonts w:cstheme="minorHAnsi"/>
              </w:rPr>
              <w:t>Mortgage</w:t>
            </w:r>
            <w:r w:rsidR="00B8557A" w:rsidRPr="00436AD8">
              <w:rPr>
                <w:rFonts w:cstheme="minorHAnsi"/>
              </w:rPr>
              <w:t xml:space="preserve"> </w:t>
            </w:r>
            <w:r w:rsidRPr="00436AD8">
              <w:rPr>
                <w:rFonts w:cstheme="minorHAnsi"/>
              </w:rPr>
              <w:t>Loan</w:t>
            </w:r>
            <w:r w:rsidR="00B8557A" w:rsidRPr="00436AD8">
              <w:rPr>
                <w:rFonts w:cstheme="minorHAnsi"/>
              </w:rPr>
              <w:t xml:space="preserve"> </w:t>
            </w:r>
            <w:r w:rsidRPr="00436AD8">
              <w:rPr>
                <w:rFonts w:cstheme="minorHAnsi"/>
              </w:rPr>
              <w:t>Originator</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MOU</w:t>
            </w:r>
          </w:p>
        </w:tc>
        <w:tc>
          <w:tcPr>
            <w:tcW w:w="0" w:type="auto"/>
            <w:vAlign w:val="center"/>
            <w:hideMark/>
          </w:tcPr>
          <w:p w:rsidR="008F6ABB" w:rsidRPr="00436AD8" w:rsidRDefault="008F6ABB" w:rsidP="00EE1148">
            <w:pPr>
              <w:rPr>
                <w:rFonts w:cstheme="minorHAnsi"/>
              </w:rPr>
            </w:pPr>
            <w:r w:rsidRPr="00436AD8">
              <w:rPr>
                <w:rFonts w:cstheme="minorHAnsi"/>
              </w:rPr>
              <w:t>Memorandum</w:t>
            </w:r>
            <w:r w:rsidR="00B8557A" w:rsidRPr="00436AD8">
              <w:rPr>
                <w:rFonts w:cstheme="minorHAnsi"/>
              </w:rPr>
              <w:t xml:space="preserve"> </w:t>
            </w:r>
            <w:r w:rsidRPr="00436AD8">
              <w:rPr>
                <w:rFonts w:cstheme="minorHAnsi"/>
              </w:rPr>
              <w:t>of</w:t>
            </w:r>
            <w:r w:rsidR="00B8557A" w:rsidRPr="00436AD8">
              <w:rPr>
                <w:rFonts w:cstheme="minorHAnsi"/>
              </w:rPr>
              <w:t xml:space="preserve"> </w:t>
            </w:r>
            <w:r w:rsidRPr="00436AD8">
              <w:rPr>
                <w:rFonts w:cstheme="minorHAnsi"/>
              </w:rPr>
              <w:t>Understanding</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NFIP</w:t>
            </w:r>
          </w:p>
        </w:tc>
        <w:tc>
          <w:tcPr>
            <w:tcW w:w="0" w:type="auto"/>
            <w:vAlign w:val="center"/>
            <w:hideMark/>
          </w:tcPr>
          <w:p w:rsidR="008F6ABB" w:rsidRPr="00436AD8" w:rsidRDefault="00BA3B64" w:rsidP="00EE1148">
            <w:pPr>
              <w:rPr>
                <w:rFonts w:cstheme="minorHAnsi"/>
              </w:rPr>
            </w:pPr>
            <w:hyperlink r:id="rId86"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Flood</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Program</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program</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allow</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purchase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flood</w:t>
            </w:r>
            <w:r w:rsidR="00B8557A" w:rsidRPr="00436AD8">
              <w:rPr>
                <w:rFonts w:cstheme="minorHAnsi"/>
              </w:rPr>
              <w:t xml:space="preserve"> </w:t>
            </w:r>
            <w:r w:rsidR="008F6ABB" w:rsidRPr="00436AD8">
              <w:rPr>
                <w:rFonts w:cstheme="minorHAnsi"/>
              </w:rPr>
              <w:t>insurance</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government.</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NMLS</w:t>
            </w:r>
          </w:p>
        </w:tc>
        <w:tc>
          <w:tcPr>
            <w:tcW w:w="0" w:type="auto"/>
            <w:vAlign w:val="center"/>
            <w:hideMark/>
          </w:tcPr>
          <w:p w:rsidR="008F6ABB" w:rsidRPr="00436AD8" w:rsidRDefault="00BA3B64" w:rsidP="00EE1148">
            <w:pPr>
              <w:rPr>
                <w:rFonts w:cstheme="minorHAnsi"/>
              </w:rPr>
            </w:pPr>
            <w:hyperlink r:id="rId87"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System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OCC</w:t>
            </w:r>
            <w:r w:rsidR="00B8557A" w:rsidRPr="00436AD8">
              <w:rPr>
                <w:rFonts w:cstheme="minorHAnsi"/>
              </w:rPr>
              <w:t xml:space="preserve"> </w:t>
            </w:r>
          </w:p>
        </w:tc>
        <w:tc>
          <w:tcPr>
            <w:tcW w:w="0" w:type="auto"/>
            <w:vAlign w:val="center"/>
            <w:hideMark/>
          </w:tcPr>
          <w:p w:rsidR="008F6ABB" w:rsidRPr="00436AD8" w:rsidRDefault="00BA3B64" w:rsidP="00EE1148">
            <w:pPr>
              <w:rPr>
                <w:rFonts w:cstheme="minorHAnsi"/>
              </w:rPr>
            </w:pPr>
            <w:hyperlink r:id="rId88"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Comptroller</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Currency</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OFAC</w:t>
            </w:r>
          </w:p>
        </w:tc>
        <w:tc>
          <w:tcPr>
            <w:tcW w:w="0" w:type="auto"/>
            <w:vAlign w:val="center"/>
          </w:tcPr>
          <w:p w:rsidR="008F6ABB" w:rsidRPr="00436AD8" w:rsidRDefault="00BA3B64" w:rsidP="00EE1148">
            <w:pPr>
              <w:rPr>
                <w:rFonts w:cstheme="minorHAnsi"/>
              </w:rPr>
            </w:pPr>
            <w:hyperlink r:id="rId89"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Foreign</w:t>
              </w:r>
              <w:r w:rsidR="00B8557A" w:rsidRPr="00436AD8">
                <w:rPr>
                  <w:rStyle w:val="Hyperlink"/>
                  <w:rFonts w:cstheme="minorHAnsi"/>
                </w:rPr>
                <w:t xml:space="preserve"> </w:t>
              </w:r>
              <w:r w:rsidR="008F6ABB" w:rsidRPr="00436AD8">
                <w:rPr>
                  <w:rStyle w:val="Hyperlink"/>
                  <w:rFonts w:cstheme="minorHAnsi"/>
                </w:rPr>
                <w:t>Asset</w:t>
              </w:r>
              <w:r w:rsidR="00B8557A" w:rsidRPr="00436AD8">
                <w:rPr>
                  <w:rStyle w:val="Hyperlink"/>
                  <w:rFonts w:cstheme="minorHAnsi"/>
                </w:rPr>
                <w:t xml:space="preserve"> </w:t>
              </w:r>
              <w:r w:rsidR="008F6ABB" w:rsidRPr="00436AD8">
                <w:rPr>
                  <w:rStyle w:val="Hyperlink"/>
                  <w:rFonts w:cstheme="minorHAnsi"/>
                </w:rPr>
                <w:t>Control</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OREO</w:t>
            </w:r>
          </w:p>
        </w:tc>
        <w:tc>
          <w:tcPr>
            <w:tcW w:w="0" w:type="auto"/>
            <w:vAlign w:val="center"/>
          </w:tcPr>
          <w:p w:rsidR="008F6ABB" w:rsidRPr="00436AD8" w:rsidRDefault="00BA3B64" w:rsidP="00EE1148">
            <w:pPr>
              <w:rPr>
                <w:rFonts w:cstheme="minorHAnsi"/>
              </w:rPr>
            </w:pPr>
            <w:hyperlink r:id="rId90" w:history="1">
              <w:r w:rsidR="008F6ABB" w:rsidRPr="00436AD8">
                <w:rPr>
                  <w:rStyle w:val="Hyperlink"/>
                  <w:rFonts w:cstheme="minorHAnsi"/>
                </w:rPr>
                <w:t>Other</w:t>
              </w:r>
              <w:r w:rsidR="00B8557A" w:rsidRPr="00436AD8">
                <w:rPr>
                  <w:rStyle w:val="Hyperlink"/>
                  <w:rFonts w:cstheme="minorHAnsi"/>
                </w:rPr>
                <w:t xml:space="preserve"> </w:t>
              </w:r>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Owned</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QRM</w:t>
            </w:r>
          </w:p>
        </w:tc>
        <w:tc>
          <w:tcPr>
            <w:tcW w:w="0" w:type="auto"/>
            <w:vAlign w:val="center"/>
          </w:tcPr>
          <w:p w:rsidR="008F6ABB" w:rsidRPr="00436AD8" w:rsidRDefault="008F6ABB" w:rsidP="00EE1148">
            <w:pPr>
              <w:rPr>
                <w:rFonts w:cstheme="minorHAnsi"/>
              </w:rPr>
            </w:pPr>
            <w:r w:rsidRPr="00436AD8">
              <w:rPr>
                <w:rFonts w:cstheme="minorHAnsi"/>
              </w:rPr>
              <w:t>Qualified</w:t>
            </w:r>
            <w:r w:rsidR="00B8557A" w:rsidRPr="00436AD8">
              <w:rPr>
                <w:rFonts w:cstheme="minorHAnsi"/>
              </w:rPr>
              <w:t xml:space="preserve"> </w:t>
            </w:r>
            <w:r w:rsidRPr="00436AD8">
              <w:rPr>
                <w:rFonts w:cstheme="minorHAnsi"/>
              </w:rPr>
              <w:t>Residential</w:t>
            </w:r>
            <w:r w:rsidR="00B8557A" w:rsidRPr="00436AD8">
              <w:rPr>
                <w:rFonts w:cstheme="minorHAnsi"/>
              </w:rPr>
              <w:t xml:space="preserve"> </w:t>
            </w:r>
            <w:r w:rsidRPr="00436AD8">
              <w:rPr>
                <w:rFonts w:cstheme="minorHAnsi"/>
              </w:rPr>
              <w:t>Mortgage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B</w:t>
            </w:r>
          </w:p>
        </w:tc>
        <w:tc>
          <w:tcPr>
            <w:tcW w:w="0" w:type="auto"/>
            <w:vAlign w:val="center"/>
          </w:tcPr>
          <w:p w:rsidR="008F6ABB" w:rsidRPr="00436AD8" w:rsidRDefault="00BA3B64" w:rsidP="00EE1148">
            <w:pPr>
              <w:rPr>
                <w:rFonts w:cstheme="minorHAnsi"/>
              </w:rPr>
            </w:pPr>
            <w:hyperlink r:id="rId91" w:history="1">
              <w:r w:rsidR="008F6ABB" w:rsidRPr="00436AD8">
                <w:rPr>
                  <w:rStyle w:val="Hyperlink"/>
                  <w:rFonts w:cstheme="minorHAnsi"/>
                </w:rPr>
                <w:t>Equal</w:t>
              </w:r>
              <w:r w:rsidR="00B8557A" w:rsidRPr="00436AD8">
                <w:rPr>
                  <w:rStyle w:val="Hyperlink"/>
                  <w:rFonts w:cstheme="minorHAnsi"/>
                </w:rPr>
                <w:t xml:space="preserve"> </w:t>
              </w:r>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Opportunity</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C</w:t>
            </w:r>
          </w:p>
        </w:tc>
        <w:tc>
          <w:tcPr>
            <w:tcW w:w="0" w:type="auto"/>
            <w:vAlign w:val="center"/>
          </w:tcPr>
          <w:p w:rsidR="008F6ABB" w:rsidRPr="00436AD8" w:rsidRDefault="00BA3B64" w:rsidP="00EE1148">
            <w:pPr>
              <w:rPr>
                <w:rFonts w:cstheme="minorHAnsi"/>
              </w:rPr>
            </w:pPr>
            <w:hyperlink r:id="rId92"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DD</w:t>
            </w:r>
          </w:p>
        </w:tc>
        <w:tc>
          <w:tcPr>
            <w:tcW w:w="0" w:type="auto"/>
            <w:vAlign w:val="center"/>
          </w:tcPr>
          <w:p w:rsidR="008F6ABB" w:rsidRPr="00436AD8" w:rsidRDefault="00BA3B64" w:rsidP="00EE1148">
            <w:pPr>
              <w:rPr>
                <w:rFonts w:cstheme="minorHAnsi"/>
              </w:rPr>
            </w:pPr>
            <w:hyperlink r:id="rId93"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Savings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E</w:t>
            </w:r>
          </w:p>
        </w:tc>
        <w:tc>
          <w:tcPr>
            <w:tcW w:w="0" w:type="auto"/>
            <w:vAlign w:val="center"/>
          </w:tcPr>
          <w:p w:rsidR="008F6ABB" w:rsidRPr="00436AD8" w:rsidRDefault="00BA3B64" w:rsidP="00EE1148">
            <w:pPr>
              <w:rPr>
                <w:rFonts w:cstheme="minorHAnsi"/>
              </w:rPr>
            </w:pPr>
            <w:hyperlink r:id="rId94"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G</w:t>
            </w:r>
          </w:p>
        </w:tc>
        <w:tc>
          <w:tcPr>
            <w:tcW w:w="0" w:type="auto"/>
            <w:vAlign w:val="center"/>
          </w:tcPr>
          <w:p w:rsidR="008F6ABB" w:rsidRPr="00436AD8" w:rsidRDefault="00BA3B64" w:rsidP="00EE1148">
            <w:pPr>
              <w:rPr>
                <w:rFonts w:cstheme="minorHAnsi"/>
              </w:rPr>
            </w:pPr>
            <w:hyperlink r:id="rId95" w:history="1">
              <w:r w:rsidR="008F6ABB" w:rsidRPr="00436AD8">
                <w:rPr>
                  <w:rStyle w:val="Hyperlink"/>
                  <w:rFonts w:cstheme="minorHAnsi"/>
                </w:rPr>
                <w:t>S.A.F.E.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P</w:t>
            </w:r>
          </w:p>
        </w:tc>
        <w:tc>
          <w:tcPr>
            <w:tcW w:w="0" w:type="auto"/>
            <w:vAlign w:val="center"/>
          </w:tcPr>
          <w:p w:rsidR="008F6ABB" w:rsidRPr="00436AD8" w:rsidRDefault="00BA3B64" w:rsidP="00EE1148">
            <w:pPr>
              <w:rPr>
                <w:rFonts w:cstheme="minorHAnsi"/>
              </w:rPr>
            </w:pPr>
            <w:hyperlink r:id="rId96" w:history="1">
              <w:r w:rsidR="008F6ABB" w:rsidRPr="00436AD8">
                <w:rPr>
                  <w:rStyle w:val="Hyperlink"/>
                  <w:rFonts w:cstheme="minorHAnsi"/>
                </w:rPr>
                <w:t>Privacy</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Information</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X</w:t>
            </w:r>
          </w:p>
        </w:tc>
        <w:tc>
          <w:tcPr>
            <w:tcW w:w="0" w:type="auto"/>
            <w:vAlign w:val="center"/>
          </w:tcPr>
          <w:p w:rsidR="008F6ABB" w:rsidRPr="00436AD8" w:rsidRDefault="00BA3B64" w:rsidP="00EE1148">
            <w:pPr>
              <w:rPr>
                <w:rFonts w:cstheme="minorHAnsi"/>
              </w:rPr>
            </w:pPr>
            <w:hyperlink r:id="rId97"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Z</w:t>
            </w:r>
          </w:p>
        </w:tc>
        <w:tc>
          <w:tcPr>
            <w:tcW w:w="0" w:type="auto"/>
            <w:vAlign w:val="center"/>
          </w:tcPr>
          <w:p w:rsidR="008F6ABB" w:rsidRPr="00436AD8" w:rsidRDefault="00BA3B64" w:rsidP="00EE1148">
            <w:pPr>
              <w:rPr>
                <w:rFonts w:cstheme="minorHAnsi"/>
              </w:rPr>
            </w:pPr>
            <w:hyperlink r:id="rId98"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RESPA</w:t>
            </w:r>
          </w:p>
        </w:tc>
        <w:tc>
          <w:tcPr>
            <w:tcW w:w="0" w:type="auto"/>
            <w:vAlign w:val="center"/>
          </w:tcPr>
          <w:p w:rsidR="008F6ABB" w:rsidRPr="00436AD8" w:rsidRDefault="00BA3B64" w:rsidP="00EE1148">
            <w:pPr>
              <w:rPr>
                <w:rFonts w:cstheme="minorHAnsi"/>
              </w:rPr>
            </w:pPr>
            <w:hyperlink r:id="rId99"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SAR</w:t>
            </w:r>
          </w:p>
        </w:tc>
        <w:tc>
          <w:tcPr>
            <w:tcW w:w="0" w:type="auto"/>
            <w:vAlign w:val="center"/>
          </w:tcPr>
          <w:p w:rsidR="008F6ABB" w:rsidRPr="00436AD8" w:rsidRDefault="00BA3B64" w:rsidP="00EE1148">
            <w:pPr>
              <w:rPr>
                <w:rFonts w:cstheme="minorHAnsi"/>
              </w:rPr>
            </w:pPr>
            <w:hyperlink r:id="rId100" w:history="1">
              <w:r w:rsidR="008F6ABB" w:rsidRPr="00436AD8">
                <w:rPr>
                  <w:rStyle w:val="Hyperlink"/>
                  <w:rFonts w:cstheme="minorHAnsi"/>
                </w:rPr>
                <w:t>Suspicious</w:t>
              </w:r>
              <w:r w:rsidR="00B8557A" w:rsidRPr="00436AD8">
                <w:rPr>
                  <w:rStyle w:val="Hyperlink"/>
                  <w:rFonts w:cstheme="minorHAnsi"/>
                </w:rPr>
                <w:t xml:space="preserve"> </w:t>
              </w:r>
              <w:r w:rsidR="008F6ABB" w:rsidRPr="00436AD8">
                <w:rPr>
                  <w:rStyle w:val="Hyperlink"/>
                  <w:rFonts w:cstheme="minorHAnsi"/>
                </w:rPr>
                <w:t>Activity</w:t>
              </w:r>
              <w:r w:rsidR="00B8557A" w:rsidRPr="00436AD8">
                <w:rPr>
                  <w:rStyle w:val="Hyperlink"/>
                  <w:rFonts w:cstheme="minorHAnsi"/>
                </w:rPr>
                <w:t xml:space="preserve"> </w:t>
              </w:r>
              <w:r w:rsidR="008F6ABB" w:rsidRPr="00436AD8">
                <w:rPr>
                  <w:rStyle w:val="Hyperlink"/>
                  <w:rFonts w:cstheme="minorHAnsi"/>
                </w:rPr>
                <w:t>Report</w:t>
              </w:r>
            </w:hyperlink>
            <w:r w:rsidR="00B8557A" w:rsidRPr="00436AD8">
              <w:rPr>
                <w:rFonts w:cstheme="minorHAnsi"/>
              </w:rPr>
              <w:t xml:space="preserve"> </w:t>
            </w:r>
            <w:r w:rsidR="008F6ABB" w:rsidRPr="00436AD8">
              <w:rPr>
                <w:rFonts w:cstheme="minorHAnsi"/>
              </w:rPr>
              <w:t>–</w:t>
            </w:r>
            <w:r w:rsidR="00B8557A" w:rsidRPr="00436AD8">
              <w:rPr>
                <w:rFonts w:cstheme="minorHAnsi"/>
              </w:rPr>
              <w:t xml:space="preserve"> </w:t>
            </w:r>
            <w:r w:rsidR="008F6ABB" w:rsidRPr="00436AD8">
              <w:rPr>
                <w:rFonts w:cstheme="minorHAnsi"/>
              </w:rPr>
              <w:t>Report</w:t>
            </w:r>
            <w:r w:rsidR="00B8557A" w:rsidRPr="00436AD8">
              <w:rPr>
                <w:rFonts w:cstheme="minorHAnsi"/>
              </w:rPr>
              <w:t xml:space="preserve"> </w:t>
            </w:r>
            <w:r w:rsidR="008F6ABB" w:rsidRPr="00436AD8">
              <w:rPr>
                <w:rFonts w:cstheme="minorHAnsi"/>
              </w:rPr>
              <w:t>financial</w:t>
            </w:r>
            <w:r w:rsidR="00B8557A" w:rsidRPr="00436AD8">
              <w:rPr>
                <w:rFonts w:cstheme="minorHAnsi"/>
              </w:rPr>
              <w:t xml:space="preserve"> </w:t>
            </w:r>
            <w:r w:rsidR="008F6ABB" w:rsidRPr="00436AD8">
              <w:rPr>
                <w:rFonts w:cstheme="minorHAnsi"/>
              </w:rPr>
              <w:t>institutions</w:t>
            </w:r>
            <w:r w:rsidR="00B8557A" w:rsidRPr="00436AD8">
              <w:rPr>
                <w:rFonts w:cstheme="minorHAnsi"/>
              </w:rPr>
              <w:t xml:space="preserve"> </w:t>
            </w:r>
            <w:r w:rsidR="008F6ABB" w:rsidRPr="00436AD8">
              <w:rPr>
                <w:rFonts w:cstheme="minorHAnsi"/>
              </w:rPr>
              <w:t>file</w:t>
            </w:r>
            <w:r w:rsidR="00B8557A" w:rsidRPr="00436AD8">
              <w:rPr>
                <w:rFonts w:cstheme="minorHAnsi"/>
              </w:rPr>
              <w:t xml:space="preserve"> </w:t>
            </w:r>
            <w:r w:rsidR="008F6ABB" w:rsidRPr="00436AD8">
              <w:rPr>
                <w:rFonts w:cstheme="minorHAnsi"/>
              </w:rPr>
              <w:t>with</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(FinCEN)</w:t>
            </w:r>
            <w:r w:rsidR="00B8557A" w:rsidRPr="00436AD8">
              <w:rPr>
                <w:rFonts w:cstheme="minorHAnsi"/>
              </w:rPr>
              <w:t xml:space="preserve"> </w:t>
            </w:r>
            <w:r w:rsidR="008F6ABB" w:rsidRPr="00436AD8">
              <w:rPr>
                <w:rFonts w:cstheme="minorHAnsi"/>
              </w:rPr>
              <w:t>regarding</w:t>
            </w:r>
            <w:r w:rsidR="00B8557A" w:rsidRPr="00436AD8">
              <w:rPr>
                <w:rFonts w:cstheme="minorHAnsi"/>
              </w:rPr>
              <w:t xml:space="preserve"> </w:t>
            </w:r>
            <w:r w:rsidR="008F6ABB" w:rsidRPr="00436AD8">
              <w:rPr>
                <w:rFonts w:cstheme="minorHAnsi"/>
              </w:rPr>
              <w:t>activity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may</w:t>
            </w:r>
            <w:r w:rsidR="00B8557A" w:rsidRPr="00436AD8">
              <w:rPr>
                <w:rFonts w:cstheme="minorHAnsi"/>
              </w:rPr>
              <w:t xml:space="preserve"> </w:t>
            </w:r>
            <w:r w:rsidR="008F6ABB" w:rsidRPr="00436AD8">
              <w:rPr>
                <w:rFonts w:cstheme="minorHAnsi"/>
              </w:rPr>
              <w:t>be</w:t>
            </w:r>
            <w:r w:rsidR="00B8557A" w:rsidRPr="00436AD8">
              <w:rPr>
                <w:rFonts w:cstheme="minorHAnsi"/>
              </w:rPr>
              <w:t xml:space="preserve"> </w:t>
            </w:r>
            <w:r w:rsidR="008F6ABB" w:rsidRPr="00436AD8">
              <w:rPr>
                <w:rFonts w:cstheme="minorHAnsi"/>
              </w:rPr>
              <w:t>criminal</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nature.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SDN</w:t>
            </w:r>
          </w:p>
        </w:tc>
        <w:tc>
          <w:tcPr>
            <w:tcW w:w="0" w:type="auto"/>
            <w:vAlign w:val="center"/>
          </w:tcPr>
          <w:p w:rsidR="008F6ABB" w:rsidRPr="00436AD8" w:rsidRDefault="008F6ABB" w:rsidP="00EE1148">
            <w:pPr>
              <w:rPr>
                <w:rFonts w:cstheme="minorHAnsi"/>
              </w:rPr>
            </w:pPr>
            <w:r w:rsidRPr="00436AD8">
              <w:rPr>
                <w:rFonts w:cstheme="minorHAnsi"/>
              </w:rPr>
              <w:t>Specially</w:t>
            </w:r>
            <w:r w:rsidR="00B8557A" w:rsidRPr="00436AD8">
              <w:rPr>
                <w:rFonts w:cstheme="minorHAnsi"/>
              </w:rPr>
              <w:t xml:space="preserve"> </w:t>
            </w:r>
            <w:r w:rsidRPr="00436AD8">
              <w:rPr>
                <w:rFonts w:cstheme="minorHAnsi"/>
              </w:rPr>
              <w:t>Designated</w:t>
            </w:r>
            <w:r w:rsidR="00B8557A" w:rsidRPr="00436AD8">
              <w:rPr>
                <w:rFonts w:cstheme="minorHAnsi"/>
              </w:rPr>
              <w:t xml:space="preserve"> </w:t>
            </w:r>
            <w:r w:rsidRPr="00436AD8">
              <w:rPr>
                <w:rFonts w:cstheme="minorHAnsi"/>
              </w:rPr>
              <w:t>National</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TILA</w:t>
            </w:r>
          </w:p>
        </w:tc>
        <w:tc>
          <w:tcPr>
            <w:tcW w:w="0" w:type="auto"/>
            <w:vAlign w:val="center"/>
          </w:tcPr>
          <w:p w:rsidR="008F6ABB" w:rsidRPr="00436AD8" w:rsidRDefault="00BA3B64" w:rsidP="00EE1148">
            <w:pPr>
              <w:rPr>
                <w:rFonts w:cstheme="minorHAnsi"/>
              </w:rPr>
            </w:pPr>
            <w:hyperlink r:id="rId101"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TIN</w:t>
            </w:r>
          </w:p>
        </w:tc>
        <w:tc>
          <w:tcPr>
            <w:tcW w:w="0" w:type="auto"/>
            <w:vAlign w:val="center"/>
          </w:tcPr>
          <w:p w:rsidR="008F6ABB" w:rsidRPr="00436AD8" w:rsidRDefault="008F6ABB" w:rsidP="00EE1148">
            <w:pPr>
              <w:rPr>
                <w:rFonts w:cstheme="minorHAnsi"/>
              </w:rPr>
            </w:pPr>
            <w:r w:rsidRPr="00436AD8">
              <w:rPr>
                <w:rFonts w:cstheme="minorHAnsi"/>
              </w:rPr>
              <w:t>Tax</w:t>
            </w:r>
            <w:r w:rsidR="00B8557A" w:rsidRPr="00436AD8">
              <w:rPr>
                <w:rFonts w:cstheme="minorHAnsi"/>
              </w:rPr>
              <w:t xml:space="preserve"> </w:t>
            </w:r>
            <w:r w:rsidRPr="00436AD8">
              <w:rPr>
                <w:rFonts w:cstheme="minorHAnsi"/>
              </w:rPr>
              <w:t>Identification</w:t>
            </w:r>
            <w:r w:rsidR="00B8557A" w:rsidRPr="00436AD8">
              <w:rPr>
                <w:rFonts w:cstheme="minorHAnsi"/>
              </w:rPr>
              <w:t xml:space="preserve"> </w:t>
            </w:r>
            <w:r w:rsidRPr="00436AD8">
              <w:rPr>
                <w:rFonts w:cstheme="minorHAnsi"/>
              </w:rPr>
              <w:t>Number</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Treasury</w:t>
            </w:r>
          </w:p>
        </w:tc>
        <w:tc>
          <w:tcPr>
            <w:tcW w:w="0" w:type="auto"/>
            <w:vAlign w:val="center"/>
          </w:tcPr>
          <w:p w:rsidR="008F6ABB" w:rsidRPr="00436AD8" w:rsidRDefault="00BA3B64" w:rsidP="00EE1148">
            <w:pPr>
              <w:rPr>
                <w:rFonts w:cstheme="minorHAnsi"/>
              </w:rPr>
            </w:pPr>
            <w:hyperlink r:id="rId102" w:history="1">
              <w:r w:rsidR="008F6ABB" w:rsidRPr="00436AD8">
                <w:rPr>
                  <w:rStyle w:val="Hyperlink"/>
                  <w:rFonts w:cstheme="minorHAnsi"/>
                </w:rPr>
                <w:t>U.S.</w:t>
              </w:r>
              <w:r w:rsidR="00B8557A" w:rsidRPr="00436AD8">
                <w:rPr>
                  <w:rStyle w:val="Hyperlink"/>
                  <w:rFonts w:cstheme="minorHAnsi"/>
                </w:rPr>
                <w:t xml:space="preserve"> </w:t>
              </w:r>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Treasury</w:t>
              </w:r>
            </w:hyperlink>
          </w:p>
        </w:tc>
      </w:tr>
    </w:tbl>
    <w:p w:rsidR="008F6ABB" w:rsidRPr="00436AD8" w:rsidRDefault="008F6ABB" w:rsidP="008F6ABB">
      <w:pPr>
        <w:rPr>
          <w:rFonts w:cstheme="minorHAnsi"/>
          <w:b/>
        </w:rPr>
        <w:sectPr w:rsidR="008F6ABB" w:rsidRPr="00436AD8" w:rsidSect="00EC6BE7">
          <w:footerReference w:type="first" r:id="rId103"/>
          <w:type w:val="continuous"/>
          <w:pgSz w:w="12240" w:h="15840"/>
          <w:pgMar w:top="720" w:right="720" w:bottom="720" w:left="720" w:header="720" w:footer="432" w:gutter="0"/>
          <w:cols w:num="2" w:space="720"/>
          <w:titlePg/>
          <w:docGrid w:linePitch="360"/>
        </w:sectPr>
      </w:pPr>
      <w:bookmarkStart w:id="49" w:name="_GoBack"/>
      <w:bookmarkEnd w:id="49"/>
    </w:p>
    <w:p w:rsidR="008F6ABB" w:rsidRPr="00436AD8" w:rsidRDefault="008F6ABB" w:rsidP="008F6ABB">
      <w:pPr>
        <w:rPr>
          <w:rFonts w:cstheme="minorHAnsi"/>
          <w:b/>
        </w:rPr>
      </w:pPr>
    </w:p>
    <w:p w:rsidR="00BB48CB" w:rsidRPr="00F63731" w:rsidRDefault="00BB48CB" w:rsidP="00BB48CB">
      <w:pPr>
        <w:autoSpaceDE w:val="0"/>
        <w:autoSpaceDN w:val="0"/>
        <w:adjustRightInd w:val="0"/>
        <w:rPr>
          <w:rFonts w:ascii="Georgia" w:hAnsi="Georgia"/>
          <w:sz w:val="18"/>
          <w:szCs w:val="18"/>
        </w:rPr>
      </w:pPr>
      <w:r w:rsidRPr="00F63731">
        <w:rPr>
          <w:rFonts w:ascii="Georgia" w:hAnsi="Georgia"/>
          <w:sz w:val="18"/>
          <w:szCs w:val="18"/>
        </w:rPr>
        <w:t xml:space="preserve">This publication is designed to provide accurate and authoritative information </w:t>
      </w:r>
      <w:proofErr w:type="gramStart"/>
      <w:r w:rsidRPr="00F63731">
        <w:rPr>
          <w:rFonts w:ascii="Georgia" w:hAnsi="Georgia"/>
          <w:sz w:val="18"/>
          <w:szCs w:val="18"/>
        </w:rPr>
        <w:t>in regard to</w:t>
      </w:r>
      <w:proofErr w:type="gramEnd"/>
      <w:r w:rsidRPr="00F63731">
        <w:rPr>
          <w:rFonts w:ascii="Georgia" w:hAnsi="Georgia"/>
          <w:sz w:val="18"/>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w:t>
      </w:r>
      <w:r>
        <w:rPr>
          <w:rFonts w:ascii="Georgia" w:hAnsi="Georgia"/>
          <w:sz w:val="18"/>
          <w:szCs w:val="18"/>
        </w:rPr>
        <w:t>Kelly Goulart</w:t>
      </w:r>
      <w:r w:rsidRPr="00F63731">
        <w:rPr>
          <w:rFonts w:ascii="Georgia" w:hAnsi="Georgia"/>
          <w:sz w:val="18"/>
          <w:szCs w:val="18"/>
        </w:rPr>
        <w:t xml:space="preserve"> Editor; Oklahoma Edition, copyrighted by Craig Buford, CBAO President and CEO.</w:t>
      </w:r>
    </w:p>
    <w:p w:rsidR="00BB48CB" w:rsidRPr="00F63731" w:rsidRDefault="00BB48CB" w:rsidP="00BB48CB">
      <w:pPr>
        <w:autoSpaceDE w:val="0"/>
        <w:autoSpaceDN w:val="0"/>
        <w:adjustRightInd w:val="0"/>
        <w:rPr>
          <w:rFonts w:ascii="Georgia" w:hAnsi="Georgia"/>
          <w:sz w:val="18"/>
          <w:szCs w:val="18"/>
        </w:rPr>
      </w:pPr>
    </w:p>
    <w:p w:rsidR="00BB48CB" w:rsidRPr="00F63731" w:rsidRDefault="00BB48CB" w:rsidP="00BB48CB">
      <w:pPr>
        <w:autoSpaceDE w:val="0"/>
        <w:autoSpaceDN w:val="0"/>
        <w:adjustRightInd w:val="0"/>
        <w:rPr>
          <w:rFonts w:ascii="Georgia" w:hAnsi="Georgia"/>
          <w:sz w:val="18"/>
          <w:szCs w:val="18"/>
        </w:rPr>
      </w:pPr>
      <w:r w:rsidRPr="00F63731">
        <w:rPr>
          <w:rFonts w:ascii="Georgia" w:hAnsi="Georgia"/>
          <w:sz w:val="18"/>
          <w:szCs w:val="18"/>
        </w:rPr>
        <w:t>Capitol Comments</w:t>
      </w:r>
    </w:p>
    <w:p w:rsidR="00BB48CB" w:rsidRPr="00F63731" w:rsidRDefault="00BB48CB" w:rsidP="00BB48CB">
      <w:pPr>
        <w:autoSpaceDE w:val="0"/>
        <w:autoSpaceDN w:val="0"/>
        <w:adjustRightInd w:val="0"/>
        <w:rPr>
          <w:rFonts w:ascii="Georgia" w:hAnsi="Georgia"/>
          <w:sz w:val="18"/>
          <w:szCs w:val="18"/>
        </w:rPr>
      </w:pPr>
      <w:r w:rsidRPr="00F63731">
        <w:rPr>
          <w:rFonts w:ascii="Georgia" w:hAnsi="Georgia"/>
          <w:sz w:val="18"/>
          <w:szCs w:val="18"/>
        </w:rPr>
        <w:t>Craig Buford, CAE</w:t>
      </w:r>
    </w:p>
    <w:p w:rsidR="00BB48CB" w:rsidRPr="00F63731" w:rsidRDefault="00BB48CB" w:rsidP="00BB48CB">
      <w:pPr>
        <w:autoSpaceDE w:val="0"/>
        <w:autoSpaceDN w:val="0"/>
        <w:adjustRightInd w:val="0"/>
        <w:rPr>
          <w:rFonts w:ascii="Georgia" w:hAnsi="Georgia"/>
          <w:sz w:val="18"/>
          <w:szCs w:val="18"/>
        </w:rPr>
      </w:pPr>
      <w:r w:rsidRPr="00F63731">
        <w:rPr>
          <w:rFonts w:ascii="Georgia" w:hAnsi="Georgia"/>
          <w:sz w:val="18"/>
          <w:szCs w:val="18"/>
        </w:rPr>
        <w:t>President and CEO</w:t>
      </w:r>
    </w:p>
    <w:p w:rsidR="00BB48CB" w:rsidRPr="00F63731" w:rsidRDefault="00BB48CB" w:rsidP="00BB48CB">
      <w:pPr>
        <w:autoSpaceDE w:val="0"/>
        <w:autoSpaceDN w:val="0"/>
        <w:adjustRightInd w:val="0"/>
        <w:rPr>
          <w:rFonts w:ascii="Georgia" w:hAnsi="Georgia"/>
          <w:sz w:val="18"/>
          <w:szCs w:val="18"/>
        </w:rPr>
      </w:pPr>
      <w:r w:rsidRPr="00F63731">
        <w:rPr>
          <w:rFonts w:ascii="Georgia" w:hAnsi="Georgia"/>
          <w:sz w:val="18"/>
          <w:szCs w:val="18"/>
        </w:rPr>
        <w:t>Community Bankers Association of Oklahoma</w:t>
      </w:r>
    </w:p>
    <w:p w:rsidR="00BB48CB" w:rsidRPr="00F63731" w:rsidRDefault="00BB48CB" w:rsidP="00BB48CB">
      <w:pPr>
        <w:autoSpaceDE w:val="0"/>
        <w:autoSpaceDN w:val="0"/>
        <w:adjustRightInd w:val="0"/>
        <w:rPr>
          <w:rFonts w:ascii="Georgia" w:hAnsi="Georgia"/>
          <w:sz w:val="18"/>
          <w:szCs w:val="18"/>
        </w:rPr>
      </w:pPr>
      <w:r w:rsidRPr="00F63731">
        <w:rPr>
          <w:rFonts w:ascii="Georgia" w:hAnsi="Georgia"/>
          <w:sz w:val="18"/>
          <w:szCs w:val="18"/>
        </w:rPr>
        <w:t>4101 Perimeter Center Drive, Suite 107</w:t>
      </w:r>
    </w:p>
    <w:p w:rsidR="00BB48CB" w:rsidRPr="00F63731" w:rsidRDefault="00BB48CB" w:rsidP="00BB48CB">
      <w:pPr>
        <w:autoSpaceDE w:val="0"/>
        <w:autoSpaceDN w:val="0"/>
        <w:adjustRightInd w:val="0"/>
        <w:rPr>
          <w:rFonts w:ascii="Georgia" w:hAnsi="Georgia"/>
          <w:sz w:val="18"/>
          <w:szCs w:val="18"/>
        </w:rPr>
      </w:pPr>
      <w:r w:rsidRPr="00F63731">
        <w:rPr>
          <w:rFonts w:ascii="Georgia" w:hAnsi="Georgia"/>
          <w:sz w:val="18"/>
          <w:szCs w:val="18"/>
        </w:rPr>
        <w:t>Oklahoma City, OK 73112</w:t>
      </w:r>
    </w:p>
    <w:p w:rsidR="00BB48CB" w:rsidRPr="003374E4" w:rsidRDefault="00BB48CB" w:rsidP="00BB48CB">
      <w:pPr>
        <w:autoSpaceDE w:val="0"/>
        <w:autoSpaceDN w:val="0"/>
        <w:adjustRightInd w:val="0"/>
        <w:rPr>
          <w:rFonts w:ascii="Georgia" w:hAnsi="Georgia"/>
          <w:sz w:val="18"/>
          <w:szCs w:val="18"/>
        </w:rPr>
      </w:pPr>
      <w:r w:rsidRPr="00F63731">
        <w:rPr>
          <w:rFonts w:ascii="Georgia" w:hAnsi="Georgia"/>
          <w:sz w:val="18"/>
          <w:szCs w:val="18"/>
        </w:rPr>
        <w:t>Office: 405-524-4122</w:t>
      </w:r>
    </w:p>
    <w:p w:rsidR="00001EFA" w:rsidRPr="00657F38" w:rsidRDefault="00001EFA" w:rsidP="00BB48CB">
      <w:pPr>
        <w:autoSpaceDE w:val="0"/>
        <w:autoSpaceDN w:val="0"/>
        <w:adjustRightInd w:val="0"/>
        <w:spacing w:after="120"/>
        <w:rPr>
          <w:rFonts w:cstheme="minorHAnsi"/>
          <w:sz w:val="18"/>
          <w:szCs w:val="18"/>
        </w:rPr>
      </w:pPr>
    </w:p>
    <w:sectPr w:rsidR="00001EFA" w:rsidRPr="00657F38" w:rsidSect="00EC6BE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64" w:rsidRDefault="00BA3B64" w:rsidP="005E2416">
      <w:r>
        <w:separator/>
      </w:r>
    </w:p>
  </w:endnote>
  <w:endnote w:type="continuationSeparator" w:id="0">
    <w:p w:rsidR="00BA3B64" w:rsidRDefault="00BA3B64"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ITC Avant Garde Gothic Demi">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3D" w:rsidRPr="00436AD8" w:rsidRDefault="00C45A3D"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January</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sidR="00BB48CB">
      <w:rPr>
        <w:rFonts w:cstheme="minorHAnsi"/>
        <w:b/>
        <w:noProof/>
        <w:color w:val="1F497D" w:themeColor="text2"/>
      </w:rPr>
      <w:t>13</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D29" w:rsidRPr="00436AD8" w:rsidRDefault="00C51D29" w:rsidP="00C51D29">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January</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sidR="00BB48CB">
      <w:rPr>
        <w:rFonts w:cstheme="minorHAnsi"/>
        <w:b/>
        <w:noProof/>
        <w:color w:val="1F497D" w:themeColor="text2"/>
      </w:rPr>
      <w:t>1</w:t>
    </w:r>
    <w:r w:rsidRPr="00436AD8">
      <w:rPr>
        <w:rFonts w:cstheme="minorHAnsi"/>
        <w:b/>
        <w:color w:val="1F497D"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3D" w:rsidRDefault="00C45A3D" w:rsidP="00B72C70">
    <w:pPr>
      <w:pStyle w:val="Footer"/>
      <w:tabs>
        <w:tab w:val="clear" w:pos="4680"/>
        <w:tab w:val="clear" w:pos="9360"/>
        <w:tab w:val="center" w:pos="5400"/>
        <w:tab w:val="right" w:pos="10800"/>
      </w:tabs>
      <w:rPr>
        <w:rFonts w:ascii="ITC Avant Garde Gothic Demi" w:hAnsi="ITC Avant Garde Gothic Demi"/>
        <w:color w:val="03653F"/>
      </w:rPr>
    </w:pPr>
  </w:p>
  <w:p w:rsidR="00C45A3D" w:rsidRPr="005E2416" w:rsidRDefault="00C45A3D"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January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001EFA">
      <w:rPr>
        <w:rFonts w:ascii="ITC Avant Garde Gothic Demi" w:hAnsi="ITC Avant Garde Gothic Demi"/>
        <w:noProof/>
        <w:color w:val="03653F"/>
      </w:rPr>
      <w:t>12</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64" w:rsidRDefault="00BA3B64" w:rsidP="005E2416">
      <w:r>
        <w:separator/>
      </w:r>
    </w:p>
  </w:footnote>
  <w:footnote w:type="continuationSeparator" w:id="0">
    <w:p w:rsidR="00BA3B64" w:rsidRDefault="00BA3B64"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2CA1B72"/>
    <w:multiLevelType w:val="multilevel"/>
    <w:tmpl w:val="29481E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2E79"/>
    <w:multiLevelType w:val="multilevel"/>
    <w:tmpl w:val="4C7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6F53"/>
    <w:multiLevelType w:val="multilevel"/>
    <w:tmpl w:val="23306E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35570"/>
    <w:multiLevelType w:val="multilevel"/>
    <w:tmpl w:val="C21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82C57"/>
    <w:multiLevelType w:val="multilevel"/>
    <w:tmpl w:val="735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C2792"/>
    <w:multiLevelType w:val="multilevel"/>
    <w:tmpl w:val="90C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A7475"/>
    <w:multiLevelType w:val="multilevel"/>
    <w:tmpl w:val="9EE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D0082"/>
    <w:multiLevelType w:val="multilevel"/>
    <w:tmpl w:val="59DE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B74A0C"/>
    <w:multiLevelType w:val="multilevel"/>
    <w:tmpl w:val="F426094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152E8"/>
    <w:multiLevelType w:val="hybridMultilevel"/>
    <w:tmpl w:val="A63A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B2DFC"/>
    <w:multiLevelType w:val="multilevel"/>
    <w:tmpl w:val="D320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B1033"/>
    <w:multiLevelType w:val="hybridMultilevel"/>
    <w:tmpl w:val="DB7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3B0E"/>
    <w:multiLevelType w:val="multilevel"/>
    <w:tmpl w:val="A18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60C53"/>
    <w:multiLevelType w:val="multilevel"/>
    <w:tmpl w:val="DA3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47AAE"/>
    <w:multiLevelType w:val="multilevel"/>
    <w:tmpl w:val="7F22985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47829"/>
    <w:multiLevelType w:val="multilevel"/>
    <w:tmpl w:val="3EB0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33EA8"/>
    <w:multiLevelType w:val="hybridMultilevel"/>
    <w:tmpl w:val="A760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F32F6"/>
    <w:multiLevelType w:val="multilevel"/>
    <w:tmpl w:val="741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70A8A"/>
    <w:multiLevelType w:val="multilevel"/>
    <w:tmpl w:val="2410D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ED0AEB"/>
    <w:multiLevelType w:val="multilevel"/>
    <w:tmpl w:val="F132A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A2EF5"/>
    <w:multiLevelType w:val="multilevel"/>
    <w:tmpl w:val="2FB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E2B33"/>
    <w:multiLevelType w:val="multilevel"/>
    <w:tmpl w:val="17E6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F78DE"/>
    <w:multiLevelType w:val="multilevel"/>
    <w:tmpl w:val="8312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95529"/>
    <w:multiLevelType w:val="multilevel"/>
    <w:tmpl w:val="AB52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5521C"/>
    <w:multiLevelType w:val="multilevel"/>
    <w:tmpl w:val="A3D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70AD3"/>
    <w:multiLevelType w:val="multilevel"/>
    <w:tmpl w:val="ED8E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32D3B"/>
    <w:multiLevelType w:val="multilevel"/>
    <w:tmpl w:val="F10E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60CE2"/>
    <w:multiLevelType w:val="multilevel"/>
    <w:tmpl w:val="F2400D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02C7B"/>
    <w:multiLevelType w:val="multilevel"/>
    <w:tmpl w:val="64C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50334"/>
    <w:multiLevelType w:val="multilevel"/>
    <w:tmpl w:val="3D9299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430C23"/>
    <w:multiLevelType w:val="multilevel"/>
    <w:tmpl w:val="A95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90EEA"/>
    <w:multiLevelType w:val="multilevel"/>
    <w:tmpl w:val="9EE6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277B8"/>
    <w:multiLevelType w:val="multilevel"/>
    <w:tmpl w:val="31E4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066A4E"/>
    <w:multiLevelType w:val="multilevel"/>
    <w:tmpl w:val="1DF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322DB"/>
    <w:multiLevelType w:val="multilevel"/>
    <w:tmpl w:val="E4B2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221D9"/>
    <w:multiLevelType w:val="multilevel"/>
    <w:tmpl w:val="80B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421D1"/>
    <w:multiLevelType w:val="multilevel"/>
    <w:tmpl w:val="3D9299A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C0CF8"/>
    <w:multiLevelType w:val="multilevel"/>
    <w:tmpl w:val="95E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7E60E9"/>
    <w:multiLevelType w:val="hybridMultilevel"/>
    <w:tmpl w:val="372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F5ECC"/>
    <w:multiLevelType w:val="multilevel"/>
    <w:tmpl w:val="FED4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3"/>
  </w:num>
  <w:num w:numId="3">
    <w:abstractNumId w:val="28"/>
  </w:num>
  <w:num w:numId="4">
    <w:abstractNumId w:val="22"/>
  </w:num>
  <w:num w:numId="5">
    <w:abstractNumId w:val="23"/>
  </w:num>
  <w:num w:numId="6">
    <w:abstractNumId w:val="36"/>
  </w:num>
  <w:num w:numId="7">
    <w:abstractNumId w:val="12"/>
  </w:num>
  <w:num w:numId="8">
    <w:abstractNumId w:val="10"/>
  </w:num>
  <w:num w:numId="9">
    <w:abstractNumId w:val="17"/>
  </w:num>
  <w:num w:numId="10">
    <w:abstractNumId w:val="31"/>
  </w:num>
  <w:num w:numId="11">
    <w:abstractNumId w:val="32"/>
  </w:num>
  <w:num w:numId="12">
    <w:abstractNumId w:val="6"/>
  </w:num>
  <w:num w:numId="13">
    <w:abstractNumId w:val="13"/>
  </w:num>
  <w:num w:numId="14">
    <w:abstractNumId w:val="39"/>
  </w:num>
  <w:num w:numId="15">
    <w:abstractNumId w:val="11"/>
  </w:num>
  <w:num w:numId="16">
    <w:abstractNumId w:val="4"/>
  </w:num>
  <w:num w:numId="17">
    <w:abstractNumId w:val="21"/>
  </w:num>
  <w:num w:numId="18">
    <w:abstractNumId w:val="38"/>
  </w:num>
  <w:num w:numId="19">
    <w:abstractNumId w:val="35"/>
  </w:num>
  <w:num w:numId="20">
    <w:abstractNumId w:val="26"/>
  </w:num>
  <w:num w:numId="21">
    <w:abstractNumId w:val="2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40"/>
  </w:num>
  <w:num w:numId="26">
    <w:abstractNumId w:val="5"/>
  </w:num>
  <w:num w:numId="27">
    <w:abstractNumId w:val="1"/>
  </w:num>
  <w:num w:numId="28">
    <w:abstractNumId w:val="16"/>
  </w:num>
  <w:num w:numId="29">
    <w:abstractNumId w:val="14"/>
  </w:num>
  <w:num w:numId="30">
    <w:abstractNumId w:val="27"/>
  </w:num>
  <w:num w:numId="31">
    <w:abstractNumId w:val="2"/>
  </w:num>
  <w:num w:numId="32">
    <w:abstractNumId w:val="7"/>
  </w:num>
  <w:num w:numId="33">
    <w:abstractNumId w:val="9"/>
  </w:num>
  <w:num w:numId="34">
    <w:abstractNumId w:val="30"/>
  </w:num>
  <w:num w:numId="35">
    <w:abstractNumId w:val="37"/>
  </w:num>
  <w:num w:numId="36">
    <w:abstractNumId w:val="15"/>
  </w:num>
  <w:num w:numId="37">
    <w:abstractNumId w:val="0"/>
  </w:num>
  <w:num w:numId="38">
    <w:abstractNumId w:val="25"/>
  </w:num>
  <w:num w:numId="39">
    <w:abstractNumId w:val="18"/>
  </w:num>
  <w:num w:numId="40">
    <w:abstractNumId w:val="34"/>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816"/>
    <w:rsid w:val="00000AEE"/>
    <w:rsid w:val="00000CE8"/>
    <w:rsid w:val="00001EFA"/>
    <w:rsid w:val="00002D32"/>
    <w:rsid w:val="000112AB"/>
    <w:rsid w:val="00011B51"/>
    <w:rsid w:val="00012A95"/>
    <w:rsid w:val="00014C5B"/>
    <w:rsid w:val="00014ED1"/>
    <w:rsid w:val="000159BF"/>
    <w:rsid w:val="0002131A"/>
    <w:rsid w:val="00021889"/>
    <w:rsid w:val="000219FE"/>
    <w:rsid w:val="000234E3"/>
    <w:rsid w:val="00023BC6"/>
    <w:rsid w:val="00024948"/>
    <w:rsid w:val="000257D1"/>
    <w:rsid w:val="000336AA"/>
    <w:rsid w:val="000338DA"/>
    <w:rsid w:val="00035AC9"/>
    <w:rsid w:val="00040120"/>
    <w:rsid w:val="000408B9"/>
    <w:rsid w:val="00044E1D"/>
    <w:rsid w:val="00046489"/>
    <w:rsid w:val="00047119"/>
    <w:rsid w:val="00052160"/>
    <w:rsid w:val="00052176"/>
    <w:rsid w:val="00052C77"/>
    <w:rsid w:val="000545E0"/>
    <w:rsid w:val="00054EA9"/>
    <w:rsid w:val="0005732E"/>
    <w:rsid w:val="00060967"/>
    <w:rsid w:val="00060FB6"/>
    <w:rsid w:val="00062673"/>
    <w:rsid w:val="000632FF"/>
    <w:rsid w:val="00066E97"/>
    <w:rsid w:val="00070A4C"/>
    <w:rsid w:val="000714E0"/>
    <w:rsid w:val="0007189B"/>
    <w:rsid w:val="00071F6F"/>
    <w:rsid w:val="00073CD9"/>
    <w:rsid w:val="00074829"/>
    <w:rsid w:val="0007565B"/>
    <w:rsid w:val="00075669"/>
    <w:rsid w:val="00077034"/>
    <w:rsid w:val="00077C3B"/>
    <w:rsid w:val="00083948"/>
    <w:rsid w:val="00084FC3"/>
    <w:rsid w:val="00091865"/>
    <w:rsid w:val="0009355E"/>
    <w:rsid w:val="0009634C"/>
    <w:rsid w:val="000973E5"/>
    <w:rsid w:val="000977DA"/>
    <w:rsid w:val="00097E64"/>
    <w:rsid w:val="000A1AF4"/>
    <w:rsid w:val="000A2FA7"/>
    <w:rsid w:val="000A33C1"/>
    <w:rsid w:val="000A41EA"/>
    <w:rsid w:val="000B1F96"/>
    <w:rsid w:val="000B3F44"/>
    <w:rsid w:val="000B64E8"/>
    <w:rsid w:val="000B65CC"/>
    <w:rsid w:val="000C38E1"/>
    <w:rsid w:val="000C3C10"/>
    <w:rsid w:val="000C6C5C"/>
    <w:rsid w:val="000C79F8"/>
    <w:rsid w:val="000C7C83"/>
    <w:rsid w:val="000D5ED6"/>
    <w:rsid w:val="000D63FA"/>
    <w:rsid w:val="000D6AD2"/>
    <w:rsid w:val="000D6EB9"/>
    <w:rsid w:val="000D7ABE"/>
    <w:rsid w:val="000E3316"/>
    <w:rsid w:val="000E523A"/>
    <w:rsid w:val="000F0EC9"/>
    <w:rsid w:val="000F2564"/>
    <w:rsid w:val="000F5252"/>
    <w:rsid w:val="000F5E3B"/>
    <w:rsid w:val="001018EF"/>
    <w:rsid w:val="00111857"/>
    <w:rsid w:val="00113146"/>
    <w:rsid w:val="001137DD"/>
    <w:rsid w:val="00114916"/>
    <w:rsid w:val="00115C92"/>
    <w:rsid w:val="00116F2C"/>
    <w:rsid w:val="0012161C"/>
    <w:rsid w:val="00122BDA"/>
    <w:rsid w:val="00125758"/>
    <w:rsid w:val="00125C9D"/>
    <w:rsid w:val="001338F2"/>
    <w:rsid w:val="00140DDA"/>
    <w:rsid w:val="00141797"/>
    <w:rsid w:val="00141C47"/>
    <w:rsid w:val="00142283"/>
    <w:rsid w:val="00143B20"/>
    <w:rsid w:val="001444F3"/>
    <w:rsid w:val="001459F0"/>
    <w:rsid w:val="00145CE6"/>
    <w:rsid w:val="00147656"/>
    <w:rsid w:val="00147F35"/>
    <w:rsid w:val="00154231"/>
    <w:rsid w:val="001547EA"/>
    <w:rsid w:val="00155B85"/>
    <w:rsid w:val="00157E58"/>
    <w:rsid w:val="001604EC"/>
    <w:rsid w:val="00164B16"/>
    <w:rsid w:val="00164D32"/>
    <w:rsid w:val="00167281"/>
    <w:rsid w:val="00167F99"/>
    <w:rsid w:val="001700E0"/>
    <w:rsid w:val="00172281"/>
    <w:rsid w:val="00173D52"/>
    <w:rsid w:val="00175D89"/>
    <w:rsid w:val="0017728A"/>
    <w:rsid w:val="00177945"/>
    <w:rsid w:val="00177EE2"/>
    <w:rsid w:val="0018071C"/>
    <w:rsid w:val="00183970"/>
    <w:rsid w:val="00186139"/>
    <w:rsid w:val="001944CD"/>
    <w:rsid w:val="001A552D"/>
    <w:rsid w:val="001A59ED"/>
    <w:rsid w:val="001A7B94"/>
    <w:rsid w:val="001B051A"/>
    <w:rsid w:val="001B07EA"/>
    <w:rsid w:val="001B136B"/>
    <w:rsid w:val="001B332E"/>
    <w:rsid w:val="001B4EFD"/>
    <w:rsid w:val="001C2419"/>
    <w:rsid w:val="001C3107"/>
    <w:rsid w:val="001C5595"/>
    <w:rsid w:val="001D0693"/>
    <w:rsid w:val="001D304D"/>
    <w:rsid w:val="001D4076"/>
    <w:rsid w:val="001D5E46"/>
    <w:rsid w:val="001D6F5C"/>
    <w:rsid w:val="001E01F5"/>
    <w:rsid w:val="001E115D"/>
    <w:rsid w:val="001E3B58"/>
    <w:rsid w:val="001E7DF6"/>
    <w:rsid w:val="001F039A"/>
    <w:rsid w:val="001F2350"/>
    <w:rsid w:val="001F32AF"/>
    <w:rsid w:val="001F4182"/>
    <w:rsid w:val="001F57F9"/>
    <w:rsid w:val="001F60C9"/>
    <w:rsid w:val="001F6388"/>
    <w:rsid w:val="001F73DD"/>
    <w:rsid w:val="002008E4"/>
    <w:rsid w:val="00202994"/>
    <w:rsid w:val="0020586D"/>
    <w:rsid w:val="002073FD"/>
    <w:rsid w:val="00207602"/>
    <w:rsid w:val="0021057F"/>
    <w:rsid w:val="00211CEA"/>
    <w:rsid w:val="00212087"/>
    <w:rsid w:val="002155BD"/>
    <w:rsid w:val="002159E3"/>
    <w:rsid w:val="00217AF2"/>
    <w:rsid w:val="002221C5"/>
    <w:rsid w:val="00222222"/>
    <w:rsid w:val="00230EE7"/>
    <w:rsid w:val="00233A1F"/>
    <w:rsid w:val="00241553"/>
    <w:rsid w:val="002415ED"/>
    <w:rsid w:val="00242B70"/>
    <w:rsid w:val="00242F4B"/>
    <w:rsid w:val="00243C22"/>
    <w:rsid w:val="0024457E"/>
    <w:rsid w:val="00246580"/>
    <w:rsid w:val="0024752B"/>
    <w:rsid w:val="00250131"/>
    <w:rsid w:val="0025304A"/>
    <w:rsid w:val="00257D95"/>
    <w:rsid w:val="002669DA"/>
    <w:rsid w:val="002711E9"/>
    <w:rsid w:val="00271F03"/>
    <w:rsid w:val="00274B81"/>
    <w:rsid w:val="00275403"/>
    <w:rsid w:val="00276122"/>
    <w:rsid w:val="00276C6E"/>
    <w:rsid w:val="0027771E"/>
    <w:rsid w:val="00280864"/>
    <w:rsid w:val="0028170D"/>
    <w:rsid w:val="002832D9"/>
    <w:rsid w:val="00284009"/>
    <w:rsid w:val="002856CA"/>
    <w:rsid w:val="002905F0"/>
    <w:rsid w:val="00290740"/>
    <w:rsid w:val="002A1141"/>
    <w:rsid w:val="002A35D1"/>
    <w:rsid w:val="002A43A1"/>
    <w:rsid w:val="002B080D"/>
    <w:rsid w:val="002B2599"/>
    <w:rsid w:val="002C1466"/>
    <w:rsid w:val="002C4FA2"/>
    <w:rsid w:val="002C6A54"/>
    <w:rsid w:val="002D1907"/>
    <w:rsid w:val="002D20B9"/>
    <w:rsid w:val="002D5B56"/>
    <w:rsid w:val="002D5F40"/>
    <w:rsid w:val="002D6C8E"/>
    <w:rsid w:val="002E19F1"/>
    <w:rsid w:val="002E2B62"/>
    <w:rsid w:val="002E2F46"/>
    <w:rsid w:val="002E42BB"/>
    <w:rsid w:val="002E5154"/>
    <w:rsid w:val="002E6418"/>
    <w:rsid w:val="002F0294"/>
    <w:rsid w:val="002F11AD"/>
    <w:rsid w:val="002F14B7"/>
    <w:rsid w:val="002F2B1C"/>
    <w:rsid w:val="002F52F9"/>
    <w:rsid w:val="00300144"/>
    <w:rsid w:val="00301C58"/>
    <w:rsid w:val="00303A66"/>
    <w:rsid w:val="003044ED"/>
    <w:rsid w:val="00306FF8"/>
    <w:rsid w:val="0030717B"/>
    <w:rsid w:val="00307283"/>
    <w:rsid w:val="00310237"/>
    <w:rsid w:val="00311320"/>
    <w:rsid w:val="00313A84"/>
    <w:rsid w:val="003163DE"/>
    <w:rsid w:val="00323369"/>
    <w:rsid w:val="0032348B"/>
    <w:rsid w:val="0032589C"/>
    <w:rsid w:val="003268D2"/>
    <w:rsid w:val="003273BC"/>
    <w:rsid w:val="003276B1"/>
    <w:rsid w:val="003304FC"/>
    <w:rsid w:val="003312A1"/>
    <w:rsid w:val="00334478"/>
    <w:rsid w:val="00337B3D"/>
    <w:rsid w:val="00340080"/>
    <w:rsid w:val="0034104D"/>
    <w:rsid w:val="00341056"/>
    <w:rsid w:val="00342073"/>
    <w:rsid w:val="00344B1F"/>
    <w:rsid w:val="003450EA"/>
    <w:rsid w:val="003473A9"/>
    <w:rsid w:val="00352FDE"/>
    <w:rsid w:val="003546D6"/>
    <w:rsid w:val="0035488A"/>
    <w:rsid w:val="00354ADD"/>
    <w:rsid w:val="00356709"/>
    <w:rsid w:val="00356A3E"/>
    <w:rsid w:val="0036440E"/>
    <w:rsid w:val="00366848"/>
    <w:rsid w:val="00366D64"/>
    <w:rsid w:val="0036757F"/>
    <w:rsid w:val="003719FA"/>
    <w:rsid w:val="003765EB"/>
    <w:rsid w:val="00377DC4"/>
    <w:rsid w:val="00377EFC"/>
    <w:rsid w:val="003800F3"/>
    <w:rsid w:val="003802BC"/>
    <w:rsid w:val="003821A1"/>
    <w:rsid w:val="00383ABD"/>
    <w:rsid w:val="0038424F"/>
    <w:rsid w:val="00385B25"/>
    <w:rsid w:val="00386945"/>
    <w:rsid w:val="003879D5"/>
    <w:rsid w:val="00395846"/>
    <w:rsid w:val="003959E7"/>
    <w:rsid w:val="00395C2F"/>
    <w:rsid w:val="003A4042"/>
    <w:rsid w:val="003A4568"/>
    <w:rsid w:val="003B2298"/>
    <w:rsid w:val="003B3BD5"/>
    <w:rsid w:val="003B5050"/>
    <w:rsid w:val="003B5A25"/>
    <w:rsid w:val="003B6929"/>
    <w:rsid w:val="003C002D"/>
    <w:rsid w:val="003C01C7"/>
    <w:rsid w:val="003C20D5"/>
    <w:rsid w:val="003C38F7"/>
    <w:rsid w:val="003C782F"/>
    <w:rsid w:val="003D0F3E"/>
    <w:rsid w:val="003D222E"/>
    <w:rsid w:val="003D24F6"/>
    <w:rsid w:val="003E1759"/>
    <w:rsid w:val="003E22EE"/>
    <w:rsid w:val="003E23A6"/>
    <w:rsid w:val="003E36C4"/>
    <w:rsid w:val="003F00A7"/>
    <w:rsid w:val="003F0D08"/>
    <w:rsid w:val="003F22BD"/>
    <w:rsid w:val="0040382B"/>
    <w:rsid w:val="00404A1C"/>
    <w:rsid w:val="0040626A"/>
    <w:rsid w:val="00407E0F"/>
    <w:rsid w:val="00411FC5"/>
    <w:rsid w:val="00413877"/>
    <w:rsid w:val="00416161"/>
    <w:rsid w:val="004162A9"/>
    <w:rsid w:val="00417DDA"/>
    <w:rsid w:val="00421D07"/>
    <w:rsid w:val="00422FC9"/>
    <w:rsid w:val="00423B91"/>
    <w:rsid w:val="00425A3A"/>
    <w:rsid w:val="00426A48"/>
    <w:rsid w:val="0043221B"/>
    <w:rsid w:val="004330BF"/>
    <w:rsid w:val="0043342E"/>
    <w:rsid w:val="0043410A"/>
    <w:rsid w:val="00434205"/>
    <w:rsid w:val="00434510"/>
    <w:rsid w:val="00435355"/>
    <w:rsid w:val="00435BD6"/>
    <w:rsid w:val="004366E4"/>
    <w:rsid w:val="00436AD8"/>
    <w:rsid w:val="00440C8E"/>
    <w:rsid w:val="00442BAB"/>
    <w:rsid w:val="00442F94"/>
    <w:rsid w:val="00443D42"/>
    <w:rsid w:val="00443EE4"/>
    <w:rsid w:val="00444D26"/>
    <w:rsid w:val="0044548C"/>
    <w:rsid w:val="00447D6F"/>
    <w:rsid w:val="004509F4"/>
    <w:rsid w:val="0045100C"/>
    <w:rsid w:val="004522CB"/>
    <w:rsid w:val="00452D02"/>
    <w:rsid w:val="00455296"/>
    <w:rsid w:val="00457425"/>
    <w:rsid w:val="00463EBF"/>
    <w:rsid w:val="00464050"/>
    <w:rsid w:val="0046532E"/>
    <w:rsid w:val="004661F1"/>
    <w:rsid w:val="00467DEB"/>
    <w:rsid w:val="00467E11"/>
    <w:rsid w:val="0047158B"/>
    <w:rsid w:val="00472FEF"/>
    <w:rsid w:val="0047428E"/>
    <w:rsid w:val="00474D26"/>
    <w:rsid w:val="00475170"/>
    <w:rsid w:val="004806A5"/>
    <w:rsid w:val="00480D5A"/>
    <w:rsid w:val="004824D2"/>
    <w:rsid w:val="00484337"/>
    <w:rsid w:val="00485366"/>
    <w:rsid w:val="00486D0D"/>
    <w:rsid w:val="004913DB"/>
    <w:rsid w:val="00492919"/>
    <w:rsid w:val="00496841"/>
    <w:rsid w:val="004A0620"/>
    <w:rsid w:val="004A0686"/>
    <w:rsid w:val="004A5371"/>
    <w:rsid w:val="004B01FA"/>
    <w:rsid w:val="004B28CC"/>
    <w:rsid w:val="004B59EA"/>
    <w:rsid w:val="004B6439"/>
    <w:rsid w:val="004C1647"/>
    <w:rsid w:val="004C4850"/>
    <w:rsid w:val="004C5C4A"/>
    <w:rsid w:val="004C6CF7"/>
    <w:rsid w:val="004C72C5"/>
    <w:rsid w:val="004D1AF4"/>
    <w:rsid w:val="004D4632"/>
    <w:rsid w:val="004E0498"/>
    <w:rsid w:val="004E6406"/>
    <w:rsid w:val="004F0431"/>
    <w:rsid w:val="004F0B7C"/>
    <w:rsid w:val="004F0EB2"/>
    <w:rsid w:val="004F1DF9"/>
    <w:rsid w:val="004F1E9D"/>
    <w:rsid w:val="004F519C"/>
    <w:rsid w:val="004F7129"/>
    <w:rsid w:val="004F7151"/>
    <w:rsid w:val="0050237B"/>
    <w:rsid w:val="00503CE8"/>
    <w:rsid w:val="00510ABD"/>
    <w:rsid w:val="00520E24"/>
    <w:rsid w:val="00520FA0"/>
    <w:rsid w:val="00521340"/>
    <w:rsid w:val="00524315"/>
    <w:rsid w:val="00525469"/>
    <w:rsid w:val="00527F7C"/>
    <w:rsid w:val="00531577"/>
    <w:rsid w:val="005364F1"/>
    <w:rsid w:val="0053721F"/>
    <w:rsid w:val="00537C3C"/>
    <w:rsid w:val="00545056"/>
    <w:rsid w:val="00546DC4"/>
    <w:rsid w:val="005523F9"/>
    <w:rsid w:val="00553428"/>
    <w:rsid w:val="0055554C"/>
    <w:rsid w:val="00557404"/>
    <w:rsid w:val="00561C60"/>
    <w:rsid w:val="00563424"/>
    <w:rsid w:val="00565E16"/>
    <w:rsid w:val="00570603"/>
    <w:rsid w:val="0057380F"/>
    <w:rsid w:val="0057491C"/>
    <w:rsid w:val="00574D62"/>
    <w:rsid w:val="00574E77"/>
    <w:rsid w:val="00580726"/>
    <w:rsid w:val="00582302"/>
    <w:rsid w:val="0058513D"/>
    <w:rsid w:val="005858FF"/>
    <w:rsid w:val="005900D1"/>
    <w:rsid w:val="005907DE"/>
    <w:rsid w:val="00591A08"/>
    <w:rsid w:val="00592D0B"/>
    <w:rsid w:val="00594CE9"/>
    <w:rsid w:val="00596533"/>
    <w:rsid w:val="005A28C6"/>
    <w:rsid w:val="005A29C2"/>
    <w:rsid w:val="005A4400"/>
    <w:rsid w:val="005B2C74"/>
    <w:rsid w:val="005B2E81"/>
    <w:rsid w:val="005B5A9C"/>
    <w:rsid w:val="005C0AD7"/>
    <w:rsid w:val="005C1AB7"/>
    <w:rsid w:val="005C2788"/>
    <w:rsid w:val="005C35D3"/>
    <w:rsid w:val="005C4A6B"/>
    <w:rsid w:val="005C4C32"/>
    <w:rsid w:val="005C5184"/>
    <w:rsid w:val="005C7537"/>
    <w:rsid w:val="005D0232"/>
    <w:rsid w:val="005D42FA"/>
    <w:rsid w:val="005D6D35"/>
    <w:rsid w:val="005D7C86"/>
    <w:rsid w:val="005E1DCF"/>
    <w:rsid w:val="005E2416"/>
    <w:rsid w:val="005E3780"/>
    <w:rsid w:val="005E58B6"/>
    <w:rsid w:val="005F2248"/>
    <w:rsid w:val="005F397A"/>
    <w:rsid w:val="005F7470"/>
    <w:rsid w:val="00601A24"/>
    <w:rsid w:val="00602755"/>
    <w:rsid w:val="00603FF0"/>
    <w:rsid w:val="006059D3"/>
    <w:rsid w:val="00605C80"/>
    <w:rsid w:val="00612326"/>
    <w:rsid w:val="00612A3B"/>
    <w:rsid w:val="00613179"/>
    <w:rsid w:val="00620504"/>
    <w:rsid w:val="00622A39"/>
    <w:rsid w:val="00623E88"/>
    <w:rsid w:val="00625DC2"/>
    <w:rsid w:val="00626959"/>
    <w:rsid w:val="00627541"/>
    <w:rsid w:val="00630634"/>
    <w:rsid w:val="006308E6"/>
    <w:rsid w:val="00630C8B"/>
    <w:rsid w:val="00630D6D"/>
    <w:rsid w:val="0063254A"/>
    <w:rsid w:val="006331AA"/>
    <w:rsid w:val="00633B62"/>
    <w:rsid w:val="0063587C"/>
    <w:rsid w:val="00635DDB"/>
    <w:rsid w:val="00636EBC"/>
    <w:rsid w:val="00637CBE"/>
    <w:rsid w:val="00643A66"/>
    <w:rsid w:val="0064516A"/>
    <w:rsid w:val="0064614F"/>
    <w:rsid w:val="0064709B"/>
    <w:rsid w:val="006511C0"/>
    <w:rsid w:val="00655C2B"/>
    <w:rsid w:val="006564A6"/>
    <w:rsid w:val="00660E42"/>
    <w:rsid w:val="0066115F"/>
    <w:rsid w:val="0066313E"/>
    <w:rsid w:val="006631C0"/>
    <w:rsid w:val="00663221"/>
    <w:rsid w:val="0066466D"/>
    <w:rsid w:val="006653C7"/>
    <w:rsid w:val="006653DC"/>
    <w:rsid w:val="0066680E"/>
    <w:rsid w:val="00666862"/>
    <w:rsid w:val="006703ED"/>
    <w:rsid w:val="00672E8B"/>
    <w:rsid w:val="00677C8B"/>
    <w:rsid w:val="00681ADC"/>
    <w:rsid w:val="00682311"/>
    <w:rsid w:val="00682921"/>
    <w:rsid w:val="00682927"/>
    <w:rsid w:val="00682EEC"/>
    <w:rsid w:val="006832D8"/>
    <w:rsid w:val="00686A1C"/>
    <w:rsid w:val="006906C9"/>
    <w:rsid w:val="00690C0A"/>
    <w:rsid w:val="00691E72"/>
    <w:rsid w:val="0069350E"/>
    <w:rsid w:val="0069394F"/>
    <w:rsid w:val="00693ACB"/>
    <w:rsid w:val="00695207"/>
    <w:rsid w:val="0069686B"/>
    <w:rsid w:val="00697561"/>
    <w:rsid w:val="00697D34"/>
    <w:rsid w:val="006A15BA"/>
    <w:rsid w:val="006A2413"/>
    <w:rsid w:val="006A56A8"/>
    <w:rsid w:val="006A7470"/>
    <w:rsid w:val="006B1EB7"/>
    <w:rsid w:val="006B2149"/>
    <w:rsid w:val="006B5BDB"/>
    <w:rsid w:val="006B6133"/>
    <w:rsid w:val="006C1CA1"/>
    <w:rsid w:val="006C39F6"/>
    <w:rsid w:val="006C4C28"/>
    <w:rsid w:val="006D105F"/>
    <w:rsid w:val="006D245B"/>
    <w:rsid w:val="006D2D29"/>
    <w:rsid w:val="006D3895"/>
    <w:rsid w:val="006D3DA6"/>
    <w:rsid w:val="006D6D31"/>
    <w:rsid w:val="006E5252"/>
    <w:rsid w:val="006E5481"/>
    <w:rsid w:val="006E7C3B"/>
    <w:rsid w:val="006E7E8C"/>
    <w:rsid w:val="006F1D99"/>
    <w:rsid w:val="006F202A"/>
    <w:rsid w:val="006F341E"/>
    <w:rsid w:val="006F3B47"/>
    <w:rsid w:val="006F55DC"/>
    <w:rsid w:val="006F7109"/>
    <w:rsid w:val="00700CB3"/>
    <w:rsid w:val="0070309B"/>
    <w:rsid w:val="00710136"/>
    <w:rsid w:val="00710F26"/>
    <w:rsid w:val="00711800"/>
    <w:rsid w:val="00713DB2"/>
    <w:rsid w:val="007169E9"/>
    <w:rsid w:val="00720F26"/>
    <w:rsid w:val="00722BDC"/>
    <w:rsid w:val="00722C62"/>
    <w:rsid w:val="0072548A"/>
    <w:rsid w:val="00730340"/>
    <w:rsid w:val="00731C28"/>
    <w:rsid w:val="00732D75"/>
    <w:rsid w:val="007336BF"/>
    <w:rsid w:val="00733EDB"/>
    <w:rsid w:val="00734062"/>
    <w:rsid w:val="00736BE1"/>
    <w:rsid w:val="00740FE7"/>
    <w:rsid w:val="00751A3E"/>
    <w:rsid w:val="00751F04"/>
    <w:rsid w:val="00752E69"/>
    <w:rsid w:val="00753B95"/>
    <w:rsid w:val="007540D3"/>
    <w:rsid w:val="007557D9"/>
    <w:rsid w:val="00755BEA"/>
    <w:rsid w:val="00755FFC"/>
    <w:rsid w:val="00761597"/>
    <w:rsid w:val="007701DB"/>
    <w:rsid w:val="00770864"/>
    <w:rsid w:val="00773337"/>
    <w:rsid w:val="00776C33"/>
    <w:rsid w:val="0078169E"/>
    <w:rsid w:val="007837BD"/>
    <w:rsid w:val="00785E90"/>
    <w:rsid w:val="00785F7F"/>
    <w:rsid w:val="00786BFD"/>
    <w:rsid w:val="00791341"/>
    <w:rsid w:val="007953A4"/>
    <w:rsid w:val="007960BF"/>
    <w:rsid w:val="007978A9"/>
    <w:rsid w:val="007A023D"/>
    <w:rsid w:val="007A04E9"/>
    <w:rsid w:val="007A15F5"/>
    <w:rsid w:val="007A20AA"/>
    <w:rsid w:val="007A3443"/>
    <w:rsid w:val="007A4B47"/>
    <w:rsid w:val="007A53E5"/>
    <w:rsid w:val="007A5A88"/>
    <w:rsid w:val="007A5FDD"/>
    <w:rsid w:val="007B0C31"/>
    <w:rsid w:val="007B0F71"/>
    <w:rsid w:val="007B7A67"/>
    <w:rsid w:val="007D0C00"/>
    <w:rsid w:val="007D16FE"/>
    <w:rsid w:val="007D3208"/>
    <w:rsid w:val="007E35F4"/>
    <w:rsid w:val="007E4450"/>
    <w:rsid w:val="007E52C9"/>
    <w:rsid w:val="007E6EF3"/>
    <w:rsid w:val="007F0A93"/>
    <w:rsid w:val="007F4539"/>
    <w:rsid w:val="007F5312"/>
    <w:rsid w:val="007F6821"/>
    <w:rsid w:val="007F6F81"/>
    <w:rsid w:val="00800F74"/>
    <w:rsid w:val="00802892"/>
    <w:rsid w:val="00802B67"/>
    <w:rsid w:val="00806502"/>
    <w:rsid w:val="008104F7"/>
    <w:rsid w:val="00812FDD"/>
    <w:rsid w:val="008169A7"/>
    <w:rsid w:val="00824ACB"/>
    <w:rsid w:val="008263A8"/>
    <w:rsid w:val="0082694E"/>
    <w:rsid w:val="00827FC2"/>
    <w:rsid w:val="00830B8E"/>
    <w:rsid w:val="008311E6"/>
    <w:rsid w:val="00831F41"/>
    <w:rsid w:val="008321FD"/>
    <w:rsid w:val="0083451A"/>
    <w:rsid w:val="00834B67"/>
    <w:rsid w:val="00834FD5"/>
    <w:rsid w:val="008376C1"/>
    <w:rsid w:val="00837AEF"/>
    <w:rsid w:val="008406FC"/>
    <w:rsid w:val="0084074D"/>
    <w:rsid w:val="00840B0C"/>
    <w:rsid w:val="00841116"/>
    <w:rsid w:val="008423DE"/>
    <w:rsid w:val="0084628E"/>
    <w:rsid w:val="0085235E"/>
    <w:rsid w:val="00854698"/>
    <w:rsid w:val="008553B5"/>
    <w:rsid w:val="00857259"/>
    <w:rsid w:val="00860DDD"/>
    <w:rsid w:val="0086186C"/>
    <w:rsid w:val="0086209A"/>
    <w:rsid w:val="00864646"/>
    <w:rsid w:val="008648F5"/>
    <w:rsid w:val="008649CC"/>
    <w:rsid w:val="00865379"/>
    <w:rsid w:val="008657FD"/>
    <w:rsid w:val="00865BE9"/>
    <w:rsid w:val="00865CBB"/>
    <w:rsid w:val="0087035D"/>
    <w:rsid w:val="00870FA4"/>
    <w:rsid w:val="00875483"/>
    <w:rsid w:val="008813A9"/>
    <w:rsid w:val="008815A2"/>
    <w:rsid w:val="0088786D"/>
    <w:rsid w:val="00887EFE"/>
    <w:rsid w:val="00892467"/>
    <w:rsid w:val="00892B92"/>
    <w:rsid w:val="00896E42"/>
    <w:rsid w:val="008A038F"/>
    <w:rsid w:val="008A0DE0"/>
    <w:rsid w:val="008A4D02"/>
    <w:rsid w:val="008A75B8"/>
    <w:rsid w:val="008B1ECC"/>
    <w:rsid w:val="008B29B0"/>
    <w:rsid w:val="008B3A33"/>
    <w:rsid w:val="008B51B8"/>
    <w:rsid w:val="008B58D2"/>
    <w:rsid w:val="008B69B7"/>
    <w:rsid w:val="008C29E2"/>
    <w:rsid w:val="008C4EA9"/>
    <w:rsid w:val="008D265F"/>
    <w:rsid w:val="008D2EE6"/>
    <w:rsid w:val="008D347F"/>
    <w:rsid w:val="008E1054"/>
    <w:rsid w:val="008E2386"/>
    <w:rsid w:val="008E46A3"/>
    <w:rsid w:val="008E5FE9"/>
    <w:rsid w:val="008E6808"/>
    <w:rsid w:val="008F152E"/>
    <w:rsid w:val="008F565E"/>
    <w:rsid w:val="008F63CF"/>
    <w:rsid w:val="008F6ABB"/>
    <w:rsid w:val="008F7E5D"/>
    <w:rsid w:val="00900443"/>
    <w:rsid w:val="009015E2"/>
    <w:rsid w:val="009054F7"/>
    <w:rsid w:val="00905C1B"/>
    <w:rsid w:val="00910DF0"/>
    <w:rsid w:val="0091339A"/>
    <w:rsid w:val="00914570"/>
    <w:rsid w:val="00917535"/>
    <w:rsid w:val="00920B78"/>
    <w:rsid w:val="009213A7"/>
    <w:rsid w:val="00923F1E"/>
    <w:rsid w:val="00925075"/>
    <w:rsid w:val="00925EC5"/>
    <w:rsid w:val="0093440D"/>
    <w:rsid w:val="0094717C"/>
    <w:rsid w:val="00951E85"/>
    <w:rsid w:val="00952D83"/>
    <w:rsid w:val="009543DE"/>
    <w:rsid w:val="009551B4"/>
    <w:rsid w:val="00955FB6"/>
    <w:rsid w:val="00957BC8"/>
    <w:rsid w:val="00957E3E"/>
    <w:rsid w:val="00960061"/>
    <w:rsid w:val="00965265"/>
    <w:rsid w:val="0096599E"/>
    <w:rsid w:val="009669B9"/>
    <w:rsid w:val="00973910"/>
    <w:rsid w:val="00975768"/>
    <w:rsid w:val="00977DD5"/>
    <w:rsid w:val="00980498"/>
    <w:rsid w:val="009824A8"/>
    <w:rsid w:val="009847BA"/>
    <w:rsid w:val="00984B68"/>
    <w:rsid w:val="009871BE"/>
    <w:rsid w:val="00990410"/>
    <w:rsid w:val="00991C5C"/>
    <w:rsid w:val="0099448B"/>
    <w:rsid w:val="00995206"/>
    <w:rsid w:val="00996B12"/>
    <w:rsid w:val="009A008F"/>
    <w:rsid w:val="009A036F"/>
    <w:rsid w:val="009A67B2"/>
    <w:rsid w:val="009B19CA"/>
    <w:rsid w:val="009B4F26"/>
    <w:rsid w:val="009B50D9"/>
    <w:rsid w:val="009B6C68"/>
    <w:rsid w:val="009C034E"/>
    <w:rsid w:val="009C0A65"/>
    <w:rsid w:val="009D01FA"/>
    <w:rsid w:val="009D1234"/>
    <w:rsid w:val="009D123A"/>
    <w:rsid w:val="009D7023"/>
    <w:rsid w:val="009E1B84"/>
    <w:rsid w:val="009E4056"/>
    <w:rsid w:val="009E5B18"/>
    <w:rsid w:val="009E65F2"/>
    <w:rsid w:val="009E6734"/>
    <w:rsid w:val="009F342E"/>
    <w:rsid w:val="009F3D1F"/>
    <w:rsid w:val="009F449C"/>
    <w:rsid w:val="009F4DC0"/>
    <w:rsid w:val="009F59C8"/>
    <w:rsid w:val="009F7D43"/>
    <w:rsid w:val="009F7EDA"/>
    <w:rsid w:val="00A01E9F"/>
    <w:rsid w:val="00A0235E"/>
    <w:rsid w:val="00A11A6A"/>
    <w:rsid w:val="00A12077"/>
    <w:rsid w:val="00A15FEB"/>
    <w:rsid w:val="00A17230"/>
    <w:rsid w:val="00A200F0"/>
    <w:rsid w:val="00A209D5"/>
    <w:rsid w:val="00A215EA"/>
    <w:rsid w:val="00A22927"/>
    <w:rsid w:val="00A23601"/>
    <w:rsid w:val="00A240FE"/>
    <w:rsid w:val="00A25786"/>
    <w:rsid w:val="00A30DD3"/>
    <w:rsid w:val="00A352F5"/>
    <w:rsid w:val="00A357FC"/>
    <w:rsid w:val="00A401D9"/>
    <w:rsid w:val="00A4417F"/>
    <w:rsid w:val="00A45938"/>
    <w:rsid w:val="00A47249"/>
    <w:rsid w:val="00A47786"/>
    <w:rsid w:val="00A47E07"/>
    <w:rsid w:val="00A500F7"/>
    <w:rsid w:val="00A52376"/>
    <w:rsid w:val="00A552ED"/>
    <w:rsid w:val="00A556E2"/>
    <w:rsid w:val="00A56825"/>
    <w:rsid w:val="00A6184A"/>
    <w:rsid w:val="00A622C1"/>
    <w:rsid w:val="00A63051"/>
    <w:rsid w:val="00A635E1"/>
    <w:rsid w:val="00A648CE"/>
    <w:rsid w:val="00A65690"/>
    <w:rsid w:val="00A716AE"/>
    <w:rsid w:val="00A71BE7"/>
    <w:rsid w:val="00A72A2F"/>
    <w:rsid w:val="00A74CD1"/>
    <w:rsid w:val="00A7797A"/>
    <w:rsid w:val="00A8120C"/>
    <w:rsid w:val="00A82611"/>
    <w:rsid w:val="00A841A8"/>
    <w:rsid w:val="00A92C31"/>
    <w:rsid w:val="00A94981"/>
    <w:rsid w:val="00A95532"/>
    <w:rsid w:val="00A958BE"/>
    <w:rsid w:val="00AA1A08"/>
    <w:rsid w:val="00AA6BC7"/>
    <w:rsid w:val="00AA788F"/>
    <w:rsid w:val="00AA79BF"/>
    <w:rsid w:val="00AB0D9C"/>
    <w:rsid w:val="00AB29DF"/>
    <w:rsid w:val="00AB3DAC"/>
    <w:rsid w:val="00AB46D3"/>
    <w:rsid w:val="00AB6B07"/>
    <w:rsid w:val="00AB6C46"/>
    <w:rsid w:val="00AB7671"/>
    <w:rsid w:val="00AC11BD"/>
    <w:rsid w:val="00AC4EA4"/>
    <w:rsid w:val="00AC67FD"/>
    <w:rsid w:val="00AD0F2A"/>
    <w:rsid w:val="00AD0F32"/>
    <w:rsid w:val="00AD3F6C"/>
    <w:rsid w:val="00AD43F2"/>
    <w:rsid w:val="00AD57EE"/>
    <w:rsid w:val="00AE066E"/>
    <w:rsid w:val="00AE1AD1"/>
    <w:rsid w:val="00AE21EF"/>
    <w:rsid w:val="00AE78DA"/>
    <w:rsid w:val="00AF32C3"/>
    <w:rsid w:val="00AF3891"/>
    <w:rsid w:val="00AF3BA7"/>
    <w:rsid w:val="00AF4BB3"/>
    <w:rsid w:val="00AF5108"/>
    <w:rsid w:val="00AF5733"/>
    <w:rsid w:val="00AF60EE"/>
    <w:rsid w:val="00AF7135"/>
    <w:rsid w:val="00AF7761"/>
    <w:rsid w:val="00B002E1"/>
    <w:rsid w:val="00B017FE"/>
    <w:rsid w:val="00B02190"/>
    <w:rsid w:val="00B022E6"/>
    <w:rsid w:val="00B03E6B"/>
    <w:rsid w:val="00B04219"/>
    <w:rsid w:val="00B04C32"/>
    <w:rsid w:val="00B05DE1"/>
    <w:rsid w:val="00B10174"/>
    <w:rsid w:val="00B1211C"/>
    <w:rsid w:val="00B126CD"/>
    <w:rsid w:val="00B1740E"/>
    <w:rsid w:val="00B17429"/>
    <w:rsid w:val="00B32764"/>
    <w:rsid w:val="00B33546"/>
    <w:rsid w:val="00B36C6A"/>
    <w:rsid w:val="00B41FC4"/>
    <w:rsid w:val="00B43E6B"/>
    <w:rsid w:val="00B479E5"/>
    <w:rsid w:val="00B5115A"/>
    <w:rsid w:val="00B540DB"/>
    <w:rsid w:val="00B60915"/>
    <w:rsid w:val="00B61F19"/>
    <w:rsid w:val="00B66B60"/>
    <w:rsid w:val="00B676B4"/>
    <w:rsid w:val="00B714F5"/>
    <w:rsid w:val="00B72C70"/>
    <w:rsid w:val="00B76090"/>
    <w:rsid w:val="00B82F89"/>
    <w:rsid w:val="00B84145"/>
    <w:rsid w:val="00B8536B"/>
    <w:rsid w:val="00B8557A"/>
    <w:rsid w:val="00B87E60"/>
    <w:rsid w:val="00B90FB0"/>
    <w:rsid w:val="00B918A4"/>
    <w:rsid w:val="00B91A7C"/>
    <w:rsid w:val="00B920EA"/>
    <w:rsid w:val="00B9446E"/>
    <w:rsid w:val="00B94CC3"/>
    <w:rsid w:val="00BA3B64"/>
    <w:rsid w:val="00BA47C8"/>
    <w:rsid w:val="00BA5503"/>
    <w:rsid w:val="00BA6F21"/>
    <w:rsid w:val="00BB0385"/>
    <w:rsid w:val="00BB050E"/>
    <w:rsid w:val="00BB1F8E"/>
    <w:rsid w:val="00BB2240"/>
    <w:rsid w:val="00BB33F1"/>
    <w:rsid w:val="00BB43C2"/>
    <w:rsid w:val="00BB47DD"/>
    <w:rsid w:val="00BB48CB"/>
    <w:rsid w:val="00BB76B2"/>
    <w:rsid w:val="00BB7FB0"/>
    <w:rsid w:val="00BC0704"/>
    <w:rsid w:val="00BC085F"/>
    <w:rsid w:val="00BC1CBD"/>
    <w:rsid w:val="00BC1F7D"/>
    <w:rsid w:val="00BC3E5C"/>
    <w:rsid w:val="00BC64C7"/>
    <w:rsid w:val="00BD171A"/>
    <w:rsid w:val="00BD35B6"/>
    <w:rsid w:val="00BD50D8"/>
    <w:rsid w:val="00BE16CB"/>
    <w:rsid w:val="00BE2A33"/>
    <w:rsid w:val="00BE50FB"/>
    <w:rsid w:val="00BE5354"/>
    <w:rsid w:val="00BE79CB"/>
    <w:rsid w:val="00BF1BDB"/>
    <w:rsid w:val="00BF5F8A"/>
    <w:rsid w:val="00C03F78"/>
    <w:rsid w:val="00C04A19"/>
    <w:rsid w:val="00C04AB1"/>
    <w:rsid w:val="00C119C9"/>
    <w:rsid w:val="00C16238"/>
    <w:rsid w:val="00C21DE0"/>
    <w:rsid w:val="00C230E1"/>
    <w:rsid w:val="00C26880"/>
    <w:rsid w:val="00C3017B"/>
    <w:rsid w:val="00C32F8D"/>
    <w:rsid w:val="00C34CCD"/>
    <w:rsid w:val="00C34ED9"/>
    <w:rsid w:val="00C35932"/>
    <w:rsid w:val="00C411E8"/>
    <w:rsid w:val="00C440D9"/>
    <w:rsid w:val="00C45A3D"/>
    <w:rsid w:val="00C51D29"/>
    <w:rsid w:val="00C5338E"/>
    <w:rsid w:val="00C53C74"/>
    <w:rsid w:val="00C56C3A"/>
    <w:rsid w:val="00C615D9"/>
    <w:rsid w:val="00C63CB6"/>
    <w:rsid w:val="00C65B15"/>
    <w:rsid w:val="00C66174"/>
    <w:rsid w:val="00C664AF"/>
    <w:rsid w:val="00C6694B"/>
    <w:rsid w:val="00C676D0"/>
    <w:rsid w:val="00C67955"/>
    <w:rsid w:val="00C70AD3"/>
    <w:rsid w:val="00C72133"/>
    <w:rsid w:val="00C741F5"/>
    <w:rsid w:val="00C74983"/>
    <w:rsid w:val="00C7708A"/>
    <w:rsid w:val="00C841C6"/>
    <w:rsid w:val="00C87627"/>
    <w:rsid w:val="00C87C97"/>
    <w:rsid w:val="00C9089D"/>
    <w:rsid w:val="00C9157E"/>
    <w:rsid w:val="00C93BC8"/>
    <w:rsid w:val="00C948C0"/>
    <w:rsid w:val="00C94D73"/>
    <w:rsid w:val="00C95E38"/>
    <w:rsid w:val="00CA32F0"/>
    <w:rsid w:val="00CA3616"/>
    <w:rsid w:val="00CB3AB0"/>
    <w:rsid w:val="00CC2857"/>
    <w:rsid w:val="00CC2D9A"/>
    <w:rsid w:val="00CC44B3"/>
    <w:rsid w:val="00CC543E"/>
    <w:rsid w:val="00CC670B"/>
    <w:rsid w:val="00CC68F9"/>
    <w:rsid w:val="00CD08AD"/>
    <w:rsid w:val="00CD08F0"/>
    <w:rsid w:val="00CD129F"/>
    <w:rsid w:val="00CD28B2"/>
    <w:rsid w:val="00CD2FA6"/>
    <w:rsid w:val="00CD4E8B"/>
    <w:rsid w:val="00CD61F1"/>
    <w:rsid w:val="00CD77DE"/>
    <w:rsid w:val="00CD7E28"/>
    <w:rsid w:val="00CF2909"/>
    <w:rsid w:val="00CF2CB1"/>
    <w:rsid w:val="00CF3917"/>
    <w:rsid w:val="00CF487D"/>
    <w:rsid w:val="00CF581D"/>
    <w:rsid w:val="00D01198"/>
    <w:rsid w:val="00D0134D"/>
    <w:rsid w:val="00D044E6"/>
    <w:rsid w:val="00D060B3"/>
    <w:rsid w:val="00D07608"/>
    <w:rsid w:val="00D12EAD"/>
    <w:rsid w:val="00D132B9"/>
    <w:rsid w:val="00D14AB3"/>
    <w:rsid w:val="00D15716"/>
    <w:rsid w:val="00D16482"/>
    <w:rsid w:val="00D167B6"/>
    <w:rsid w:val="00D206C2"/>
    <w:rsid w:val="00D21774"/>
    <w:rsid w:val="00D22D26"/>
    <w:rsid w:val="00D2316A"/>
    <w:rsid w:val="00D244A9"/>
    <w:rsid w:val="00D2617D"/>
    <w:rsid w:val="00D2759D"/>
    <w:rsid w:val="00D315D7"/>
    <w:rsid w:val="00D333AF"/>
    <w:rsid w:val="00D34083"/>
    <w:rsid w:val="00D35343"/>
    <w:rsid w:val="00D3579C"/>
    <w:rsid w:val="00D35915"/>
    <w:rsid w:val="00D404DF"/>
    <w:rsid w:val="00D41F16"/>
    <w:rsid w:val="00D43C6C"/>
    <w:rsid w:val="00D44ABE"/>
    <w:rsid w:val="00D46210"/>
    <w:rsid w:val="00D46826"/>
    <w:rsid w:val="00D52055"/>
    <w:rsid w:val="00D5273C"/>
    <w:rsid w:val="00D5278B"/>
    <w:rsid w:val="00D52979"/>
    <w:rsid w:val="00D549A4"/>
    <w:rsid w:val="00D55679"/>
    <w:rsid w:val="00D60EA5"/>
    <w:rsid w:val="00D63B20"/>
    <w:rsid w:val="00D727C6"/>
    <w:rsid w:val="00D73C76"/>
    <w:rsid w:val="00D73ECF"/>
    <w:rsid w:val="00D73F95"/>
    <w:rsid w:val="00D749D5"/>
    <w:rsid w:val="00D751EB"/>
    <w:rsid w:val="00D76DCD"/>
    <w:rsid w:val="00D76F90"/>
    <w:rsid w:val="00D77EEB"/>
    <w:rsid w:val="00D8142C"/>
    <w:rsid w:val="00D8152F"/>
    <w:rsid w:val="00D83D6A"/>
    <w:rsid w:val="00D8433A"/>
    <w:rsid w:val="00D84986"/>
    <w:rsid w:val="00D84B9E"/>
    <w:rsid w:val="00D85E6A"/>
    <w:rsid w:val="00D85EF0"/>
    <w:rsid w:val="00D96AF6"/>
    <w:rsid w:val="00DA047E"/>
    <w:rsid w:val="00DA16FC"/>
    <w:rsid w:val="00DA2024"/>
    <w:rsid w:val="00DA39BF"/>
    <w:rsid w:val="00DA4E4F"/>
    <w:rsid w:val="00DA5CE2"/>
    <w:rsid w:val="00DA6661"/>
    <w:rsid w:val="00DB0DB4"/>
    <w:rsid w:val="00DB4259"/>
    <w:rsid w:val="00DC2C49"/>
    <w:rsid w:val="00DC3B20"/>
    <w:rsid w:val="00DC53D9"/>
    <w:rsid w:val="00DC5672"/>
    <w:rsid w:val="00DC7E76"/>
    <w:rsid w:val="00DD18BE"/>
    <w:rsid w:val="00DD26A7"/>
    <w:rsid w:val="00DD3F8B"/>
    <w:rsid w:val="00DD4345"/>
    <w:rsid w:val="00DD50E2"/>
    <w:rsid w:val="00DD5F28"/>
    <w:rsid w:val="00DE0EAB"/>
    <w:rsid w:val="00DE1034"/>
    <w:rsid w:val="00DE160B"/>
    <w:rsid w:val="00DE2BFC"/>
    <w:rsid w:val="00DE3269"/>
    <w:rsid w:val="00DE4D97"/>
    <w:rsid w:val="00DE5BD7"/>
    <w:rsid w:val="00DE6E15"/>
    <w:rsid w:val="00DF0213"/>
    <w:rsid w:val="00DF06D6"/>
    <w:rsid w:val="00DF0C39"/>
    <w:rsid w:val="00DF2DFB"/>
    <w:rsid w:val="00DF559B"/>
    <w:rsid w:val="00DF61B9"/>
    <w:rsid w:val="00DF6ED9"/>
    <w:rsid w:val="00E00320"/>
    <w:rsid w:val="00E00CCD"/>
    <w:rsid w:val="00E019FF"/>
    <w:rsid w:val="00E02E7E"/>
    <w:rsid w:val="00E06096"/>
    <w:rsid w:val="00E06DFC"/>
    <w:rsid w:val="00E07A36"/>
    <w:rsid w:val="00E10792"/>
    <w:rsid w:val="00E11282"/>
    <w:rsid w:val="00E13471"/>
    <w:rsid w:val="00E21559"/>
    <w:rsid w:val="00E217E9"/>
    <w:rsid w:val="00E21DDE"/>
    <w:rsid w:val="00E269BA"/>
    <w:rsid w:val="00E2737B"/>
    <w:rsid w:val="00E31C64"/>
    <w:rsid w:val="00E31CD9"/>
    <w:rsid w:val="00E34374"/>
    <w:rsid w:val="00E36FF6"/>
    <w:rsid w:val="00E37C02"/>
    <w:rsid w:val="00E40A20"/>
    <w:rsid w:val="00E413AA"/>
    <w:rsid w:val="00E413F3"/>
    <w:rsid w:val="00E42126"/>
    <w:rsid w:val="00E45506"/>
    <w:rsid w:val="00E46028"/>
    <w:rsid w:val="00E5308D"/>
    <w:rsid w:val="00E60933"/>
    <w:rsid w:val="00E63190"/>
    <w:rsid w:val="00E6595D"/>
    <w:rsid w:val="00E714FD"/>
    <w:rsid w:val="00E71861"/>
    <w:rsid w:val="00E719BD"/>
    <w:rsid w:val="00E73E1C"/>
    <w:rsid w:val="00E74BBF"/>
    <w:rsid w:val="00E76AB5"/>
    <w:rsid w:val="00E76DD8"/>
    <w:rsid w:val="00E77079"/>
    <w:rsid w:val="00E80015"/>
    <w:rsid w:val="00E807A2"/>
    <w:rsid w:val="00E820CE"/>
    <w:rsid w:val="00E838EB"/>
    <w:rsid w:val="00E83A1B"/>
    <w:rsid w:val="00E85111"/>
    <w:rsid w:val="00E85735"/>
    <w:rsid w:val="00E95E06"/>
    <w:rsid w:val="00E9750A"/>
    <w:rsid w:val="00EA1E50"/>
    <w:rsid w:val="00EA2A45"/>
    <w:rsid w:val="00EA2F4C"/>
    <w:rsid w:val="00EA3A86"/>
    <w:rsid w:val="00EA5CED"/>
    <w:rsid w:val="00EA5DC1"/>
    <w:rsid w:val="00EB01F8"/>
    <w:rsid w:val="00EB2108"/>
    <w:rsid w:val="00EB2A73"/>
    <w:rsid w:val="00EB5333"/>
    <w:rsid w:val="00EC2118"/>
    <w:rsid w:val="00EC6BE7"/>
    <w:rsid w:val="00EE0487"/>
    <w:rsid w:val="00EE1148"/>
    <w:rsid w:val="00EE1E1A"/>
    <w:rsid w:val="00EE24BE"/>
    <w:rsid w:val="00EE4FF1"/>
    <w:rsid w:val="00EE616A"/>
    <w:rsid w:val="00EE698B"/>
    <w:rsid w:val="00EE6E3C"/>
    <w:rsid w:val="00EF1506"/>
    <w:rsid w:val="00EF195B"/>
    <w:rsid w:val="00EF7010"/>
    <w:rsid w:val="00F03006"/>
    <w:rsid w:val="00F0385A"/>
    <w:rsid w:val="00F05477"/>
    <w:rsid w:val="00F05980"/>
    <w:rsid w:val="00F06219"/>
    <w:rsid w:val="00F07900"/>
    <w:rsid w:val="00F07962"/>
    <w:rsid w:val="00F10A4E"/>
    <w:rsid w:val="00F14503"/>
    <w:rsid w:val="00F1704B"/>
    <w:rsid w:val="00F17F82"/>
    <w:rsid w:val="00F20AB2"/>
    <w:rsid w:val="00F24B10"/>
    <w:rsid w:val="00F269DE"/>
    <w:rsid w:val="00F276D5"/>
    <w:rsid w:val="00F31E62"/>
    <w:rsid w:val="00F32A3C"/>
    <w:rsid w:val="00F41C00"/>
    <w:rsid w:val="00F471A7"/>
    <w:rsid w:val="00F5121E"/>
    <w:rsid w:val="00F52199"/>
    <w:rsid w:val="00F52769"/>
    <w:rsid w:val="00F536E7"/>
    <w:rsid w:val="00F538D7"/>
    <w:rsid w:val="00F53FA3"/>
    <w:rsid w:val="00F56994"/>
    <w:rsid w:val="00F576BA"/>
    <w:rsid w:val="00F6130E"/>
    <w:rsid w:val="00F650DE"/>
    <w:rsid w:val="00F66D94"/>
    <w:rsid w:val="00F67CC1"/>
    <w:rsid w:val="00F705A1"/>
    <w:rsid w:val="00F7413E"/>
    <w:rsid w:val="00F76D38"/>
    <w:rsid w:val="00F76FE7"/>
    <w:rsid w:val="00F80CF8"/>
    <w:rsid w:val="00F92094"/>
    <w:rsid w:val="00F92E0A"/>
    <w:rsid w:val="00F9377C"/>
    <w:rsid w:val="00F9606E"/>
    <w:rsid w:val="00F964C1"/>
    <w:rsid w:val="00F97A4A"/>
    <w:rsid w:val="00FA288E"/>
    <w:rsid w:val="00FA3898"/>
    <w:rsid w:val="00FA558C"/>
    <w:rsid w:val="00FA6A93"/>
    <w:rsid w:val="00FB2F35"/>
    <w:rsid w:val="00FB37EE"/>
    <w:rsid w:val="00FB4888"/>
    <w:rsid w:val="00FB5A57"/>
    <w:rsid w:val="00FB7B4E"/>
    <w:rsid w:val="00FC00EF"/>
    <w:rsid w:val="00FC0C07"/>
    <w:rsid w:val="00FC4D12"/>
    <w:rsid w:val="00FC6595"/>
    <w:rsid w:val="00FD1A26"/>
    <w:rsid w:val="00FD4374"/>
    <w:rsid w:val="00FD4ADE"/>
    <w:rsid w:val="00FD5A57"/>
    <w:rsid w:val="00FD75C3"/>
    <w:rsid w:val="00FD75D6"/>
    <w:rsid w:val="00FD7AE9"/>
    <w:rsid w:val="00FE03DD"/>
    <w:rsid w:val="00FE4D58"/>
    <w:rsid w:val="00FE67DB"/>
    <w:rsid w:val="00FE7254"/>
    <w:rsid w:val="00FF3649"/>
    <w:rsid w:val="00FF43F5"/>
    <w:rsid w:val="00FF470B"/>
    <w:rsid w:val="00FF53F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CEAA"/>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51A"/>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021889"/>
    <w:pPr>
      <w:tabs>
        <w:tab w:val="right" w:pos="4950"/>
        <w:tab w:val="right" w:leader="dot" w:pos="10790"/>
      </w:tabs>
      <w:spacing w:after="10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ervisoryjournal@fdic.gov" TargetMode="External"/><Relationship Id="rId21" Type="http://schemas.openxmlformats.org/officeDocument/2006/relationships/hyperlink" Target="http://files.consumerfinance.gov/f/documents/cfpb_consumer-credit-card-market-report_2017.pdf" TargetMode="External"/><Relationship Id="rId42" Type="http://schemas.openxmlformats.org/officeDocument/2006/relationships/hyperlink" Target="https://www.gpo.gov/fdsys/pkg/FR-2017-10-27/pdf/2017-22093.pdf" TargetMode="External"/><Relationship Id="rId47" Type="http://schemas.openxmlformats.org/officeDocument/2006/relationships/hyperlink" Target="https://www.consumerfinance.gov/policy-compliance/rulemaking/final-rules/fair-credit-reporting-act-disclosures/" TargetMode="External"/><Relationship Id="rId63" Type="http://schemas.openxmlformats.org/officeDocument/2006/relationships/hyperlink" Target="http://www.csbs.org/Pages/default.aspx" TargetMode="External"/><Relationship Id="rId68" Type="http://schemas.openxmlformats.org/officeDocument/2006/relationships/hyperlink" Target="https://www.consumerfinance.gov/eregulations/1005" TargetMode="External"/><Relationship Id="rId84" Type="http://schemas.openxmlformats.org/officeDocument/2006/relationships/hyperlink" Target="http://www.hud.gov" TargetMode="External"/><Relationship Id="rId89" Type="http://schemas.openxmlformats.org/officeDocument/2006/relationships/hyperlink" Target="http://www.treasury.gov/about/organizational-structure/offices/Pages/Office-of-Foreign-Assets-Control.aspx" TargetMode="External"/><Relationship Id="rId7" Type="http://schemas.openxmlformats.org/officeDocument/2006/relationships/endnotes" Target="endnotes.xml"/><Relationship Id="rId71" Type="http://schemas.openxmlformats.org/officeDocument/2006/relationships/hyperlink" Target="http://www.fhfa.gov/" TargetMode="External"/><Relationship Id="rId92" Type="http://schemas.openxmlformats.org/officeDocument/2006/relationships/hyperlink" Target="https://www.consumerfinance.gov/eregulations/1003" TargetMode="External"/><Relationship Id="rId2" Type="http://schemas.openxmlformats.org/officeDocument/2006/relationships/numbering" Target="numbering.xml"/><Relationship Id="rId16" Type="http://schemas.openxmlformats.org/officeDocument/2006/relationships/hyperlink" Target="https://www.consumerfinance.gov/about-us/newsroom/cfpb-statement-payday-rule/" TargetMode="External"/><Relationship Id="rId29" Type="http://schemas.openxmlformats.org/officeDocument/2006/relationships/hyperlink" Target="https://www.occ.treas.gov/publications/publications-by-type/other-publications-reports/semiannual-risk-perspective/semiannual-risk-perspective-fall-2017.pdf" TargetMode="External"/><Relationship Id="rId11" Type="http://schemas.openxmlformats.org/officeDocument/2006/relationships/hyperlink" Target="http://iz4.me/Vt7U4zKXF7X1" TargetMode="External"/><Relationship Id="rId24" Type="http://schemas.openxmlformats.org/officeDocument/2006/relationships/hyperlink" Target="https://www.fdic.gov/news/news/financial/2017/fil17063.html" TargetMode="External"/><Relationship Id="rId32" Type="http://schemas.openxmlformats.org/officeDocument/2006/relationships/hyperlink" Target="https://www.federalreserve.gov/aboutthefed/files/CDIAC-meeting-20171117.pdf" TargetMode="External"/><Relationship Id="rId37" Type="http://schemas.openxmlformats.org/officeDocument/2006/relationships/hyperlink" Target="https://www.federalreserve.gov/econres/notes/feds-notes/looking-through-the-lens-of-motor-vehicle-purchases-20180112.htm" TargetMode="External"/><Relationship Id="rId40" Type="http://schemas.openxmlformats.org/officeDocument/2006/relationships/hyperlink" Target="http://www.federalreserve.gov/econres/feds/files/2017122pap.pdf" TargetMode="External"/><Relationship Id="rId45" Type="http://schemas.openxmlformats.org/officeDocument/2006/relationships/hyperlink" Target="https://www.occ.treas.gov/news-issuances/bulletins/2017/bulletin-2017-58.html" TargetMode="External"/><Relationship Id="rId53" Type="http://schemas.openxmlformats.org/officeDocument/2006/relationships/hyperlink" Target="https://www.gpo.gov/fdsys/pkg/FR-2016-05-11/pdf/2016-10567.pdf" TargetMode="External"/><Relationship Id="rId58" Type="http://schemas.openxmlformats.org/officeDocument/2006/relationships/footer" Target="footer2.xml"/><Relationship Id="rId66" Type="http://schemas.openxmlformats.org/officeDocument/2006/relationships/hyperlink" Target="http://www.justice.gov/" TargetMode="External"/><Relationship Id="rId74" Type="http://schemas.openxmlformats.org/officeDocument/2006/relationships/hyperlink" Target="https://www.federalregister.gov/" TargetMode="External"/><Relationship Id="rId79" Type="http://schemas.openxmlformats.org/officeDocument/2006/relationships/hyperlink" Target="http://harpprogram.org/" TargetMode="External"/><Relationship Id="rId87" Type="http://schemas.openxmlformats.org/officeDocument/2006/relationships/hyperlink" Target="http://mortgage.nationwidelicensingsystem.org/Pages/default.aspx" TargetMode="External"/><Relationship Id="rId102" Type="http://schemas.openxmlformats.org/officeDocument/2006/relationships/hyperlink" Target="http://www.treasury.gov" TargetMode="External"/><Relationship Id="rId5" Type="http://schemas.openxmlformats.org/officeDocument/2006/relationships/webSettings" Target="webSettings.xml"/><Relationship Id="rId61" Type="http://schemas.openxmlformats.org/officeDocument/2006/relationships/hyperlink" Target="http://www.gpo.gov/fdsys/browse/collectionCfr.action?collectionCode=CFR" TargetMode="External"/><Relationship Id="rId82" Type="http://schemas.openxmlformats.org/officeDocument/2006/relationships/hyperlink" Target="http://files.consumerfinance.gov/f/201305_compliance-guide_home-ownership-and-equity-protection-act-rule.pdf" TargetMode="External"/><Relationship Id="rId90" Type="http://schemas.openxmlformats.org/officeDocument/2006/relationships/hyperlink" Target="http://www.occ.gov/topics/credit/commercial-credit/other-real-estate-owned.html" TargetMode="External"/><Relationship Id="rId95" Type="http://schemas.openxmlformats.org/officeDocument/2006/relationships/hyperlink" Target="http://www.ecfr.gov/cgi-bin/text-idx?c=ecfr&amp;tpl=/ecfrbrowse/Title12/12cfr1007_main_02.tpl" TargetMode="External"/><Relationship Id="rId19" Type="http://schemas.openxmlformats.org/officeDocument/2006/relationships/hyperlink" Target="http://links.govdelivery.com:80/track?type=click&amp;enid=ZWFzPTEmbWFpbGluZ2lkPTIwMTgwMTExLjgzNTQzMzAxJm1lc3NhZ2VpZD1NREItUFJELUJVTC0yMDE4MDExMS44MzU0MzMwMSZkYXRhYmFzZWlkPTEwMDEmc2VyaWFsPTE3NDgyNjIxJmVtYWlsaWQ9a2dvdWxhcnRAaWJhdC5vcmcmdXNlcmlkPWtnb3VsYXJ0QGliYXQub3JnJmZsPSZleHRyYT1NdWx0aXZhcmlhdGVJZD0mJiY=&amp;&amp;&amp;101&amp;&amp;&amp;http://www.consumerfinance.gov/policy-compliance/rulemaking/final-rules/truth-lending-act-regulation-z-adjustment-asset-size-exemption-threshold/" TargetMode="External"/><Relationship Id="rId14" Type="http://schemas.openxmlformats.org/officeDocument/2006/relationships/image" Target="media/image4.png"/><Relationship Id="rId22" Type="http://schemas.openxmlformats.org/officeDocument/2006/relationships/hyperlink" Target="https://www.consumerfinance.gov/about-us/newsroom/cfpb-issues-public-statement-home-mortgage-disclosure-act-compliance/" TargetMode="External"/><Relationship Id="rId27" Type="http://schemas.openxmlformats.org/officeDocument/2006/relationships/hyperlink" Target="mailto:publicinfo@fdic.gov" TargetMode="External"/><Relationship Id="rId30" Type="http://schemas.openxmlformats.org/officeDocument/2006/relationships/hyperlink" Target="https://www.occ.gov/" TargetMode="External"/><Relationship Id="rId35" Type="http://schemas.openxmlformats.org/officeDocument/2006/relationships/hyperlink" Target="https://www.fincen.gov/sites/default/files/federal_register_notices/2018-01-02/2017-27846.pdf" TargetMode="External"/><Relationship Id="rId43" Type="http://schemas.openxmlformats.org/officeDocument/2006/relationships/hyperlink" Target="https://www.consumerfinance.gov/policy-compliance/rulemaking/final-rules/appraisals-higher-priced-mortgage-loans-exemption-threshold-adjustments/" TargetMode="External"/><Relationship Id="rId48" Type="http://schemas.openxmlformats.org/officeDocument/2006/relationships/hyperlink" Target="http://links.govdelivery.com/track?type=click&amp;enid=ZWFzPTEmbWFpbGluZ2lkPTIwMTgwMTExLjgzNTQzMzAxJm1lc3NhZ2VpZD1NREItUFJELUJVTC0yMDE4MDExMS44MzU0MzMwMSZkYXRhYmFzZWlkPTEwMDEmc2VyaWFsPTE3NDgyNjIxJmVtYWlsaWQ9a2dvdWxhcnRAaWJhdC5vcmcmdXNlcmlkPWtnb3VsYXJ0QGliYXQub3JnJmZsPSZleHRyYT1NdWx0aXZhcmlhdGVJZD0mJiY=&amp;&amp;&amp;101&amp;&amp;&amp;http://www.consumerfinance.gov/policy-compliance/rulemaking/final-rules/truth-lending-act-regulation-z-adjustment-asset-size-exemption-threshold/" TargetMode="External"/><Relationship Id="rId56" Type="http://schemas.openxmlformats.org/officeDocument/2006/relationships/hyperlink" Target="http://www.consumerfinance.gov/policy-compliance/guidance/implementation-guidance/prepaid-rule/" TargetMode="External"/><Relationship Id="rId64" Type="http://schemas.openxmlformats.org/officeDocument/2006/relationships/hyperlink" Target="https://www.ffiec.gov/bsa_aml_infobase/pages_manual/olm_017.htm" TargetMode="External"/><Relationship Id="rId69" Type="http://schemas.openxmlformats.org/officeDocument/2006/relationships/hyperlink" Target="http://www.fema.gov" TargetMode="External"/><Relationship Id="rId77" Type="http://schemas.openxmlformats.org/officeDocument/2006/relationships/hyperlink" Target="http://www.ftc.gov" TargetMode="External"/><Relationship Id="rId100" Type="http://schemas.openxmlformats.org/officeDocument/2006/relationships/hyperlink" Target="https://www.ffiec.gov/bsa_aml_infobase/pages_manual/OLM_015.htm"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3.amazonaws.com/files.consumerfinance.gov/f/documents/20161005_cfpb_Final_Rule_Prepaid_Accounts.pdf" TargetMode="External"/><Relationship Id="rId72" Type="http://schemas.openxmlformats.org/officeDocument/2006/relationships/hyperlink" Target="http://portal.hud.gov/hudportal/HUD?src=/federal_housing_administration" TargetMode="External"/><Relationship Id="rId80" Type="http://schemas.openxmlformats.org/officeDocument/2006/relationships/hyperlink" Target="https://www.hmpadmin.com/portal/programs/hamp.jsp" TargetMode="External"/><Relationship Id="rId85" Type="http://schemas.openxmlformats.org/officeDocument/2006/relationships/hyperlink" Target="https://www.irs.gov/" TargetMode="External"/><Relationship Id="rId93" Type="http://schemas.openxmlformats.org/officeDocument/2006/relationships/hyperlink" Target="https://www.consumerfinance.gov/eregulations/1030" TargetMode="External"/><Relationship Id="rId98" Type="http://schemas.openxmlformats.org/officeDocument/2006/relationships/hyperlink" Target="https://www.consumerfinance.gov/eregulations/1026"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links.govdelivery.com:80/track?type=click&amp;enid=ZWFzPTEmbWFpbGluZ2lkPTIwMTgwMTE5LjgzOTgxMDcxJm1lc3NhZ2VpZD1NREItUFJELUJVTC0yMDE4MDExOS44Mzk4MTA3MSZkYXRhYmFzZWlkPTEwMDEmc2VyaWFsPTE3NDg0OTQzJmVtYWlsaWQ9a2dvdWxhcnRAaWJhdC5vcmcmdXNlcmlkPWtnb3VsYXJ0QGliYXQub3JnJmZsPSZleHRyYT1NdWx0aXZhcmlhdGVJZD0mJiY=&amp;&amp;&amp;100&amp;&amp;&amp;https://www.consumerfinance.gov/policy-compliance/rulemaking/final-rules/civil-penalty-inflation-annual-adjustments/" TargetMode="External"/><Relationship Id="rId25" Type="http://schemas.openxmlformats.org/officeDocument/2006/relationships/hyperlink" Target="https://www.fdic.gov/regulations/examinations/supervisory/insights/past.html" TargetMode="External"/><Relationship Id="rId33" Type="http://schemas.openxmlformats.org/officeDocument/2006/relationships/hyperlink" Target="http://links.govdelivery.com:80/track?type=click&amp;enid=ZWFzPTEmbXNpZD0mYXVpZD0mbWFpbGluZ2lkPTIwMTgwMTE4LjgzOTE3MDIxJm1lc3NhZ2VpZD1NREItUFJELUJVTC0yMDE4MDExOC44MzkxNzAyMSZkYXRhYmFzZWlkPTEwMDEmc2VyaWFsPTE2OTc4ODc5JmVtYWlsaWQ9a2dvdWxhcnRAaWJhdC5vcmcmdXNlcmlkPWtnb3VsYXJ0QGliYXQub3JnJnRhcmdldGlkPSZmbD0mZXh0cmE9TXVsdGl2YXJpYXRlSWQ9JiYm&amp;&amp;&amp;102&amp;&amp;&amp;https://www.ftc.gov/reports/privacy-data-security-update-2017-overview-commissions-enforcement-policy-initiatives?utm_source=govdelivery" TargetMode="External"/><Relationship Id="rId38" Type="http://schemas.openxmlformats.org/officeDocument/2006/relationships/hyperlink" Target="http://www.federalreserve.gov/econres/notes/feds-notes/looking-through-the-lens-of-motor-vehicle-purchases-20180112.htm" TargetMode="External"/><Relationship Id="rId46" Type="http://schemas.openxmlformats.org/officeDocument/2006/relationships/hyperlink" Target="https://www.occ.treas.gov/news-issuances/news-releases/2017/nr-ia-2017-151.html" TargetMode="External"/><Relationship Id="rId59" Type="http://schemas.openxmlformats.org/officeDocument/2006/relationships/hyperlink" Target="http://www.law.cornell.edu/topn/credit_card_accountability_responsibility_and_disclosure_act_of_2009" TargetMode="External"/><Relationship Id="rId67" Type="http://schemas.openxmlformats.org/officeDocument/2006/relationships/hyperlink" Target="https://www.fdic.gov/" TargetMode="External"/><Relationship Id="rId103" Type="http://schemas.openxmlformats.org/officeDocument/2006/relationships/footer" Target="footer3.xml"/><Relationship Id="rId20" Type="http://schemas.openxmlformats.org/officeDocument/2006/relationships/hyperlink" Target="http://links.govdelivery.com:80/track?type=click&amp;enid=ZWFzPTEmbWFpbGluZ2lkPTIwMTcxMjI3LjgyOTU0NTAxJm1lc3NhZ2VpZD1NREItUFJELUJVTC0yMDE3MTIyNy44Mjk1NDUwMSZkYXRhYmFzZWlkPTEwMDEmc2VyaWFsPTE3NDc4NzIyJmVtYWlsaWQ9a2dvdWxhcnRAaWJhdC5vcmcmdXNlcmlkPWtnb3VsYXJ0QGliYXQub3JnJmZsPSZleHRyYT1NdWx0aXZhcmlhdGVJZD0mJiY=&amp;&amp;&amp;100&amp;&amp;&amp;https://www.consumerfinance.gov/data-research/hmda/for-filers" TargetMode="External"/><Relationship Id="rId41" Type="http://schemas.openxmlformats.org/officeDocument/2006/relationships/hyperlink" Target="http://www.chicagofed.org/~/media/publications/cfnai/2017/cfnai-december2017-pdf.pdf" TargetMode="External"/><Relationship Id="rId54" Type="http://schemas.openxmlformats.org/officeDocument/2006/relationships/hyperlink" Target="https://www.federalreserve.gov/newsevents/pressreleases/files/bcreg20170531a1.pdf" TargetMode="External"/><Relationship Id="rId62" Type="http://schemas.openxmlformats.org/officeDocument/2006/relationships/hyperlink" Target="http://www.ffiec.gov/cra/" TargetMode="External"/><Relationship Id="rId70" Type="http://schemas.openxmlformats.org/officeDocument/2006/relationships/hyperlink" Target="http://www.ffiec.gov/" TargetMode="External"/><Relationship Id="rId75" Type="http://schemas.openxmlformats.org/officeDocument/2006/relationships/hyperlink" Target="http://www.federalreserve.gov/" TargetMode="External"/><Relationship Id="rId83" Type="http://schemas.openxmlformats.org/officeDocument/2006/relationships/hyperlink" Target="https://www.consumerfinance.gov/ask-cfpb/what-is-a-higher-priced-mortgage-loan-en-1797/" TargetMode="External"/><Relationship Id="rId88" Type="http://schemas.openxmlformats.org/officeDocument/2006/relationships/hyperlink" Target="http://www.occ.gov/" TargetMode="External"/><Relationship Id="rId91" Type="http://schemas.openxmlformats.org/officeDocument/2006/relationships/hyperlink" Target="https://www.consumerfinance.gov/eregulations/1002" TargetMode="External"/><Relationship Id="rId96" Type="http://schemas.openxmlformats.org/officeDocument/2006/relationships/hyperlink" Target="https://www.ecfr.gov/cgi-bin/text-idx?c=ecfr&amp;tpl=/ecfrbrowse/Title12/12cfr1016_main_02.t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cc.treas.gov/news-issuances/news-releases/2017/nr-ia-2017-151.html" TargetMode="External"/><Relationship Id="rId23" Type="http://schemas.openxmlformats.org/officeDocument/2006/relationships/hyperlink" Target="https://www.occ.gov/news-issuances/bulletins/2017/bulletin-2017-62.html" TargetMode="External"/><Relationship Id="rId28" Type="http://schemas.openxmlformats.org/officeDocument/2006/relationships/hyperlink" Target="https://www.fdic.gov/bank/historical/crisis/" TargetMode="External"/><Relationship Id="rId36" Type="http://schemas.openxmlformats.org/officeDocument/2006/relationships/hyperlink" Target="https://www.federalreserve.gov/econres/notes/feds-notes/looking-through-the-lens-of-motor-vehicle-purchases-20180112.htm" TargetMode="External"/><Relationship Id="rId49" Type="http://schemas.openxmlformats.org/officeDocument/2006/relationships/hyperlink" Target="https://www.consumerfinance.gov/policy-compliance/rulemaking/final-rules/truth-lending-regulation-z-threshold-adjustments/" TargetMode="External"/><Relationship Id="rId57" Type="http://schemas.openxmlformats.org/officeDocument/2006/relationships/footer" Target="footer1.xml"/><Relationship Id="rId10" Type="http://schemas.openxmlformats.org/officeDocument/2006/relationships/hyperlink" Target="https://www.occ.treas.gov/news-issuances/bulletins/2018/bulletin-2018-2a.pdf" TargetMode="External"/><Relationship Id="rId31" Type="http://schemas.openxmlformats.org/officeDocument/2006/relationships/hyperlink" Target="https://www.federalreserve.gov/aboutthefed/cdiac.htm" TargetMode="External"/><Relationship Id="rId44" Type="http://schemas.openxmlformats.org/officeDocument/2006/relationships/hyperlink" Target="https://www.consumerfinance.gov/policy-compliance/rulemaking/final-rules/consumer-leasing-regulation-m-adjustments/" TargetMode="External"/><Relationship Id="rId52" Type="http://schemas.openxmlformats.org/officeDocument/2006/relationships/hyperlink" Target="http://www.consumerfinance.gov/policy-compliance/guidance/implementation-guidance/prepaid-rule/" TargetMode="External"/><Relationship Id="rId60" Type="http://schemas.openxmlformats.org/officeDocument/2006/relationships/hyperlink" Target="http://www.consumerfinance.gov/" TargetMode="External"/><Relationship Id="rId65" Type="http://schemas.openxmlformats.org/officeDocument/2006/relationships/hyperlink" Target="http://www.law.cornell.edu/topn/dodd-frank_wall_street_reform_and_consumer_protection_act" TargetMode="External"/><Relationship Id="rId73" Type="http://schemas.openxmlformats.org/officeDocument/2006/relationships/hyperlink" Target="http://www.fincen.gov" TargetMode="External"/><Relationship Id="rId78" Type="http://schemas.openxmlformats.org/officeDocument/2006/relationships/hyperlink" Target="http://www.gao.gov" TargetMode="External"/><Relationship Id="rId81" Type="http://schemas.openxmlformats.org/officeDocument/2006/relationships/hyperlink" Target="https://www.ffiec.gov/hmda/" TargetMode="External"/><Relationship Id="rId86" Type="http://schemas.openxmlformats.org/officeDocument/2006/relationships/hyperlink" Target="http://www.fema.gov/national-flood-insurance-program" TargetMode="External"/><Relationship Id="rId94" Type="http://schemas.openxmlformats.org/officeDocument/2006/relationships/hyperlink" Target="https://www.consumerfinance.gov/eregulations/1005" TargetMode="External"/><Relationship Id="rId99" Type="http://schemas.openxmlformats.org/officeDocument/2006/relationships/hyperlink" Target="https://www.consumerfinance.gov/eregulations/1024" TargetMode="External"/><Relationship Id="rId101" Type="http://schemas.openxmlformats.org/officeDocument/2006/relationships/hyperlink" Target="https://www.consumerfinance.gov/eregulations/1026"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ffiec.gov/press/pdf/June%202017%20Call%20Report%20proposal.final%2030-day%20FR%20Notice%2012.22.2017.final.pdf" TargetMode="External"/><Relationship Id="rId18" Type="http://schemas.openxmlformats.org/officeDocument/2006/relationships/hyperlink" Target="http://links.govdelivery.com:80/track?type=click&amp;enid=ZWFzPTEmbWFpbGluZ2lkPTIwMTgwMTExLjgzNTQzMzAxJm1lc3NhZ2VpZD1NREItUFJELUJVTC0yMDE4MDExMS44MzU0MzMwMSZkYXRhYmFzZWlkPTEwMDEmc2VyaWFsPTE3NDgyNjIxJmVtYWlsaWQ9a2dvdWxhcnRAaWJhdC5vcmcmdXNlcmlkPWtnb3VsYXJ0QGliYXQub3JnJmZsPSZleHRyYT1NdWx0aXZhcmlhdGVJZD0mJiY=&amp;&amp;&amp;100&amp;&amp;&amp;http://www.consumerfinance.gov/policy-compliance/rulemaking/final-rules/home-mortgage-disclosure-regulation-c-adjustment-asset-size-exemption-threshold/" TargetMode="External"/><Relationship Id="rId39" Type="http://schemas.openxmlformats.org/officeDocument/2006/relationships/hyperlink" Target="http://www.chicagofed.org/publications/economic-perspectives/2017/8" TargetMode="External"/><Relationship Id="rId34" Type="http://schemas.openxmlformats.org/officeDocument/2006/relationships/hyperlink" Target="http://links.govdelivery.com/track?type=click&amp;enid=ZWFzPTEmbXNpZD0mYXVpZD0mbWFpbGluZ2lkPTIwMTgwMTE4LjgzOTE3MDIxJm1lc3NhZ2VpZD1NREItUFJELUJVTC0yMDE4MDExOC44MzkxNzAyMSZkYXRhYmFzZWlkPTEwMDEmc2VyaWFsPTE2OTc4ODc5JmVtYWlsaWQ9a2dvdWxhcnRAaWJhdC5vcmcmdXNlcmlkPWtnb3VsYXJ0QGliYXQub3JnJnRhcmdldGlkPSZmbD0mZXh0cmE9TXVsdGl2YXJpYXRlSWQ9JiYm&amp;&amp;&amp;101&amp;&amp;&amp;https://www.ftc.gov/news-events/press-releases/2018/01/ftc-releases-annual-privacy-data-security-update?utm_source=govdelivery" TargetMode="External"/><Relationship Id="rId50" Type="http://schemas.openxmlformats.org/officeDocument/2006/relationships/hyperlink" Target="http://www.consumerfinance.gov/policy-compliance/rulemaking/final-rules/truth-lending-act-regulation-z-adjustment-asset-size-exemption-threshold/" TargetMode="External"/><Relationship Id="rId55" Type="http://schemas.openxmlformats.org/officeDocument/2006/relationships/hyperlink" Target="http://s3.amazonaws.com/files.consumerfinance.gov/f/documents/20161005_cfpb_Final_Rule_Prepaid_Accounts.pdf" TargetMode="External"/><Relationship Id="rId76" Type="http://schemas.openxmlformats.org/officeDocument/2006/relationships/hyperlink" Target="http://www.treasury.gov/initiatives/fsoc/Pages/home.aspx" TargetMode="External"/><Relationship Id="rId97" Type="http://schemas.openxmlformats.org/officeDocument/2006/relationships/hyperlink" Target="https://www.consumerfinance.gov/eregulations/1024"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97E4-14B4-4B88-9993-C5E35A3A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7711</Words>
  <Characters>43955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Carolyn Griffith</cp:lastModifiedBy>
  <cp:revision>3</cp:revision>
  <cp:lastPrinted>2017-09-20T16:00:00Z</cp:lastPrinted>
  <dcterms:created xsi:type="dcterms:W3CDTF">2018-01-25T17:03:00Z</dcterms:created>
  <dcterms:modified xsi:type="dcterms:W3CDTF">2018-01-25T18:55:00Z</dcterms:modified>
</cp:coreProperties>
</file>