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686" w:rsidRDefault="00826686" w:rsidP="00182C0A">
      <w:pPr>
        <w:jc w:val="center"/>
        <w:rPr>
          <w:rFonts w:cstheme="minorHAnsi"/>
          <w:b/>
          <w:color w:val="1F497D" w:themeColor="text2"/>
          <w:sz w:val="40"/>
          <w:szCs w:val="32"/>
        </w:rPr>
      </w:pPr>
      <w:bookmarkStart w:id="0" w:name="_Toc482863499"/>
      <w:bookmarkStart w:id="1" w:name="_Hlk509476955"/>
      <w:r>
        <w:rPr>
          <w:noProof/>
        </w:rPr>
        <w:drawing>
          <wp:inline distT="0" distB="0" distL="0" distR="0" wp14:anchorId="40E7C61D" wp14:editId="16A82360">
            <wp:extent cx="2453640" cy="115132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AOLogo-Vector&amp;Hi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3823" cy="1151409"/>
                    </a:xfrm>
                    <a:prstGeom prst="rect">
                      <a:avLst/>
                    </a:prstGeom>
                  </pic:spPr>
                </pic:pic>
              </a:graphicData>
            </a:graphic>
          </wp:inline>
        </w:drawing>
      </w:r>
    </w:p>
    <w:p w:rsidR="00182C0A" w:rsidRPr="005D4780" w:rsidRDefault="00182C0A" w:rsidP="00182C0A">
      <w:pPr>
        <w:jc w:val="center"/>
        <w:rPr>
          <w:rFonts w:cstheme="minorHAnsi"/>
          <w:b/>
          <w:color w:val="1F497D" w:themeColor="text2"/>
          <w:sz w:val="40"/>
          <w:szCs w:val="32"/>
        </w:rPr>
      </w:pPr>
      <w:r w:rsidRPr="005D4780">
        <w:rPr>
          <w:rFonts w:cstheme="minorHAnsi"/>
          <w:b/>
          <w:color w:val="1F497D" w:themeColor="text2"/>
          <w:sz w:val="40"/>
          <w:szCs w:val="32"/>
        </w:rPr>
        <w:t>Capitol Comments</w:t>
      </w:r>
    </w:p>
    <w:p w:rsidR="00182C0A" w:rsidRPr="005D4780" w:rsidRDefault="00182C0A" w:rsidP="00182C0A">
      <w:pPr>
        <w:jc w:val="center"/>
        <w:rPr>
          <w:rFonts w:cstheme="minorHAnsi"/>
          <w:b/>
          <w:color w:val="1F497D" w:themeColor="text2"/>
          <w:sz w:val="32"/>
          <w:szCs w:val="32"/>
        </w:rPr>
      </w:pPr>
      <w:r>
        <w:rPr>
          <w:rFonts w:cstheme="minorHAnsi"/>
          <w:b/>
          <w:color w:val="1F497D" w:themeColor="text2"/>
          <w:sz w:val="32"/>
          <w:szCs w:val="32"/>
        </w:rPr>
        <w:t>March</w:t>
      </w:r>
      <w:r w:rsidRPr="005D4780">
        <w:rPr>
          <w:rFonts w:cstheme="minorHAnsi"/>
          <w:b/>
          <w:color w:val="1F497D" w:themeColor="text2"/>
          <w:sz w:val="32"/>
          <w:szCs w:val="32"/>
        </w:rPr>
        <w:t xml:space="preserve"> 2018</w:t>
      </w:r>
    </w:p>
    <w:p w:rsidR="000C7C83" w:rsidRPr="005E2597" w:rsidRDefault="00A52376" w:rsidP="005E2597">
      <w:pPr>
        <w:rPr>
          <w:rFonts w:eastAsia="Times New Roman" w:cstheme="minorHAnsi"/>
          <w:b/>
          <w:i/>
          <w:color w:val="002060"/>
          <w:sz w:val="20"/>
          <w:szCs w:val="20"/>
        </w:rPr>
      </w:pPr>
      <w:r w:rsidRPr="00436AD8">
        <w:rPr>
          <w:rFonts w:eastAsia="Times New Roman" w:cstheme="minorHAnsi"/>
          <w:b/>
          <w:i/>
          <w:color w:val="002060"/>
          <w:sz w:val="20"/>
          <w:szCs w:val="20"/>
        </w:rPr>
        <w:t>When there is a deadline</w:t>
      </w:r>
      <w:r w:rsidR="00E5308D">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002A35D1" w:rsidRPr="00436AD8">
        <w:rPr>
          <w:rFonts w:cstheme="minorHAnsi"/>
          <w:noProof/>
        </w:rPr>
        <w:drawing>
          <wp:inline distT="0" distB="0" distL="0" distR="0" wp14:anchorId="06A90C76" wp14:editId="71AE0583">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2" w:name="_Toc409519093"/>
      <w:bookmarkStart w:id="3" w:name="_Toc504138793"/>
      <w:bookmarkStart w:id="4" w:name="_Hlk501354491"/>
    </w:p>
    <w:p w:rsidR="00B07DF6" w:rsidRDefault="00441CA4" w:rsidP="00923CEF">
      <w:pPr>
        <w:pStyle w:val="CCTOCHeading"/>
        <w:spacing w:line="259" w:lineRule="auto"/>
      </w:pPr>
      <w:bookmarkStart w:id="5" w:name="_Toc504138999"/>
      <w:bookmarkStart w:id="6" w:name="_Toc504138792"/>
      <w:bookmarkStart w:id="7" w:name="_Toc409519092"/>
      <w:bookmarkStart w:id="8" w:name="_Toc509412610"/>
      <w:r w:rsidRPr="00441CA4">
        <w:t>Joint federal agency issuances</w:t>
      </w:r>
      <w:bookmarkEnd w:id="5"/>
      <w:bookmarkEnd w:id="6"/>
      <w:bookmarkEnd w:id="7"/>
      <w:r w:rsidR="00DF639F">
        <w:t>,</w:t>
      </w:r>
      <w:r w:rsidR="006E7501">
        <w:t xml:space="preserve"> </w:t>
      </w:r>
      <w:r w:rsidR="006E7501" w:rsidRPr="006E7501">
        <w:t>action</w:t>
      </w:r>
      <w:r w:rsidR="006E7501">
        <w:t>s</w:t>
      </w:r>
      <w:r w:rsidR="006E7501" w:rsidRPr="006E7501">
        <w:t xml:space="preserve"> and news</w:t>
      </w:r>
      <w:bookmarkEnd w:id="8"/>
    </w:p>
    <w:p w:rsidR="0071614F" w:rsidRPr="005B7514" w:rsidRDefault="005E41BC" w:rsidP="005B7514">
      <w:pPr>
        <w:rPr>
          <w:b/>
          <w:sz w:val="24"/>
          <w:szCs w:val="24"/>
        </w:rPr>
      </w:pPr>
      <w:r w:rsidRPr="005B7514">
        <w:rPr>
          <w:b/>
          <w:sz w:val="24"/>
          <w:szCs w:val="24"/>
        </w:rPr>
        <w:t xml:space="preserve">FFIEC Revised A Guide to HMDA Reporting: Getting It Right! </w:t>
      </w:r>
      <w:r w:rsidR="0071614F" w:rsidRPr="005B7514">
        <w:rPr>
          <w:b/>
          <w:sz w:val="24"/>
          <w:szCs w:val="24"/>
        </w:rPr>
        <w:t>(</w:t>
      </w:r>
      <w:r w:rsidRPr="005B7514">
        <w:rPr>
          <w:b/>
          <w:sz w:val="24"/>
          <w:szCs w:val="24"/>
        </w:rPr>
        <w:t>03</w:t>
      </w:r>
      <w:r w:rsidR="0071614F" w:rsidRPr="005B7514">
        <w:rPr>
          <w:b/>
          <w:sz w:val="24"/>
          <w:szCs w:val="24"/>
        </w:rPr>
        <w:t>.</w:t>
      </w:r>
      <w:r w:rsidRPr="005B7514">
        <w:rPr>
          <w:b/>
          <w:sz w:val="24"/>
          <w:szCs w:val="24"/>
        </w:rPr>
        <w:t>05</w:t>
      </w:r>
      <w:r w:rsidR="0071614F" w:rsidRPr="005B7514">
        <w:rPr>
          <w:b/>
          <w:sz w:val="24"/>
          <w:szCs w:val="24"/>
        </w:rPr>
        <w:t>.</w:t>
      </w:r>
      <w:r w:rsidRPr="005B7514">
        <w:rPr>
          <w:b/>
          <w:sz w:val="24"/>
          <w:szCs w:val="24"/>
        </w:rPr>
        <w:t>2018</w:t>
      </w:r>
      <w:r w:rsidR="0071614F" w:rsidRPr="005B7514">
        <w:rPr>
          <w:b/>
          <w:sz w:val="24"/>
          <w:szCs w:val="24"/>
        </w:rPr>
        <w:t>)</w:t>
      </w:r>
    </w:p>
    <w:p w:rsidR="005E41BC" w:rsidRPr="005E41BC" w:rsidRDefault="005E41BC" w:rsidP="00923CEF">
      <w:pPr>
        <w:spacing w:before="120" w:after="120" w:line="259" w:lineRule="auto"/>
        <w:rPr>
          <w:rFonts w:ascii="Calibri" w:eastAsia="Calibri" w:hAnsi="Calibri" w:cs="Times New Roman"/>
          <w:b/>
          <w:bCs/>
          <w:color w:val="000000"/>
          <w:sz w:val="24"/>
          <w:szCs w:val="24"/>
        </w:rPr>
      </w:pPr>
      <w:r w:rsidRPr="005E41BC">
        <w:rPr>
          <w:rFonts w:ascii="Calibri" w:eastAsia="Calibri" w:hAnsi="Calibri" w:cs="Times New Roman"/>
          <w:bCs/>
          <w:color w:val="000000"/>
          <w:sz w:val="24"/>
          <w:szCs w:val="24"/>
        </w:rPr>
        <w:t>The Federal Financial Institutions Examination Council (FFIEC) has revised </w:t>
      </w:r>
      <w:r w:rsidRPr="005E41BC">
        <w:rPr>
          <w:rFonts w:ascii="Calibri" w:eastAsia="Calibri" w:hAnsi="Calibri" w:cs="Times New Roman"/>
          <w:bCs/>
          <w:i/>
          <w:iCs/>
          <w:color w:val="000000"/>
          <w:sz w:val="24"/>
          <w:szCs w:val="24"/>
        </w:rPr>
        <w:t>A Guide to HMDA Reporting: Getting It Right!</w:t>
      </w:r>
      <w:r w:rsidRPr="005E41BC">
        <w:rPr>
          <w:rFonts w:ascii="Calibri" w:eastAsia="Calibri" w:hAnsi="Calibri" w:cs="Times New Roman"/>
          <w:bCs/>
          <w:color w:val="000000"/>
          <w:sz w:val="24"/>
          <w:szCs w:val="24"/>
        </w:rPr>
        <w:t> to reflect the October 2015 Home Mortgage Disclosure Act (HMDA) final rule, as amended in 2017. This compliance resource should help financial institutions better understand the final rule</w:t>
      </w:r>
      <w:r w:rsidR="00923CEF">
        <w:rPr>
          <w:rFonts w:ascii="Calibri" w:eastAsia="Calibri" w:hAnsi="Calibri" w:cs="Times New Roman"/>
          <w:bCs/>
          <w:color w:val="000000"/>
          <w:sz w:val="24"/>
          <w:szCs w:val="24"/>
        </w:rPr>
        <w:t>’</w:t>
      </w:r>
      <w:r w:rsidRPr="005E41BC">
        <w:rPr>
          <w:rFonts w:ascii="Calibri" w:eastAsia="Calibri" w:hAnsi="Calibri" w:cs="Times New Roman"/>
          <w:bCs/>
          <w:color w:val="000000"/>
          <w:sz w:val="24"/>
          <w:szCs w:val="24"/>
        </w:rPr>
        <w:t>s requirements, including the data collection and reporting provisions.</w:t>
      </w:r>
    </w:p>
    <w:p w:rsidR="005E41BC" w:rsidRPr="005E41BC" w:rsidRDefault="005E41BC" w:rsidP="00923CEF">
      <w:pPr>
        <w:spacing w:before="120" w:after="120" w:line="259" w:lineRule="auto"/>
        <w:rPr>
          <w:rFonts w:ascii="Calibri" w:eastAsia="Calibri" w:hAnsi="Calibri" w:cs="Times New Roman"/>
          <w:bCs/>
          <w:color w:val="000000"/>
          <w:sz w:val="24"/>
          <w:szCs w:val="24"/>
        </w:rPr>
      </w:pPr>
      <w:r w:rsidRPr="005E41BC">
        <w:rPr>
          <w:rFonts w:ascii="Calibri" w:eastAsia="Calibri" w:hAnsi="Calibri" w:cs="Times New Roman"/>
          <w:b/>
          <w:bCs/>
          <w:color w:val="000000"/>
          <w:sz w:val="24"/>
          <w:szCs w:val="24"/>
        </w:rPr>
        <w:t>Statement of Applicability to Institutions with Total Assets under $1 Billion:</w:t>
      </w:r>
      <w:r w:rsidRPr="005E41BC">
        <w:rPr>
          <w:rFonts w:ascii="Calibri" w:eastAsia="Calibri" w:hAnsi="Calibri" w:cs="Times New Roman"/>
          <w:bCs/>
          <w:color w:val="000000"/>
          <w:sz w:val="24"/>
          <w:szCs w:val="24"/>
        </w:rPr>
        <w:t> This Financial Institution Letter applies to all FDIC-supervised institutions subject to HMDA and Regulation C. A HMDA exemption applies to institutions with assets at or below a threshold specified in Regulation C.</w:t>
      </w:r>
    </w:p>
    <w:p w:rsidR="005E41BC" w:rsidRPr="005E41BC" w:rsidRDefault="005E41BC" w:rsidP="00923CEF">
      <w:pPr>
        <w:spacing w:before="120" w:after="120" w:line="259" w:lineRule="auto"/>
        <w:rPr>
          <w:rFonts w:ascii="Calibri" w:eastAsia="Calibri" w:hAnsi="Calibri" w:cs="Times New Roman"/>
          <w:b/>
          <w:bCs/>
          <w:color w:val="000000"/>
          <w:sz w:val="24"/>
          <w:szCs w:val="24"/>
        </w:rPr>
      </w:pPr>
      <w:r w:rsidRPr="005E41BC">
        <w:rPr>
          <w:rFonts w:ascii="Calibri" w:eastAsia="Calibri" w:hAnsi="Calibri" w:cs="Times New Roman"/>
          <w:b/>
          <w:bCs/>
          <w:color w:val="000000"/>
          <w:sz w:val="24"/>
          <w:szCs w:val="24"/>
        </w:rPr>
        <w:t>Highlights:</w:t>
      </w:r>
    </w:p>
    <w:p w:rsidR="005E41BC" w:rsidRPr="005E41BC" w:rsidRDefault="005E41BC" w:rsidP="00923CEF">
      <w:pPr>
        <w:spacing w:before="120" w:after="120" w:line="259" w:lineRule="auto"/>
        <w:rPr>
          <w:rFonts w:ascii="Calibri" w:eastAsia="Calibri" w:hAnsi="Calibri" w:cs="Times New Roman"/>
          <w:bCs/>
          <w:color w:val="000000"/>
          <w:sz w:val="24"/>
          <w:szCs w:val="24"/>
        </w:rPr>
      </w:pPr>
      <w:r w:rsidRPr="005E41BC">
        <w:rPr>
          <w:rFonts w:ascii="Calibri" w:eastAsia="Calibri" w:hAnsi="Calibri" w:cs="Times New Roman"/>
          <w:bCs/>
          <w:color w:val="000000"/>
          <w:sz w:val="24"/>
          <w:szCs w:val="24"/>
        </w:rPr>
        <w:t>HMDA, which is implemented by Regulation C, requires certain financial institutions to collect, report, and disclose information about their mortgage lending activity.</w:t>
      </w:r>
    </w:p>
    <w:p w:rsidR="005E41BC" w:rsidRPr="005E41BC" w:rsidRDefault="005E41BC" w:rsidP="00923CEF">
      <w:pPr>
        <w:numPr>
          <w:ilvl w:val="0"/>
          <w:numId w:val="2"/>
        </w:numPr>
        <w:spacing w:before="120" w:after="120" w:line="259" w:lineRule="auto"/>
        <w:rPr>
          <w:rFonts w:ascii="Calibri" w:eastAsia="Calibri" w:hAnsi="Calibri" w:cs="Times New Roman"/>
          <w:bCs/>
          <w:color w:val="000000"/>
          <w:sz w:val="24"/>
          <w:szCs w:val="24"/>
        </w:rPr>
      </w:pPr>
      <w:r w:rsidRPr="005E41BC">
        <w:rPr>
          <w:rFonts w:ascii="Calibri" w:eastAsia="Calibri" w:hAnsi="Calibri" w:cs="Times New Roman"/>
          <w:bCs/>
          <w:i/>
          <w:iCs/>
          <w:color w:val="000000"/>
          <w:sz w:val="24"/>
          <w:szCs w:val="24"/>
        </w:rPr>
        <w:t>A Guide to HMDA Reporting: Getting It Right! </w:t>
      </w:r>
      <w:r w:rsidRPr="005E41BC">
        <w:rPr>
          <w:rFonts w:ascii="Calibri" w:eastAsia="Calibri" w:hAnsi="Calibri" w:cs="Times New Roman"/>
          <w:bCs/>
          <w:color w:val="000000"/>
          <w:sz w:val="24"/>
          <w:szCs w:val="24"/>
        </w:rPr>
        <w:t>provides a summary of key HMDA provisions, including information about HMDA</w:t>
      </w:r>
      <w:r w:rsidR="00923CEF">
        <w:rPr>
          <w:rFonts w:ascii="Calibri" w:eastAsia="Calibri" w:hAnsi="Calibri" w:cs="Times New Roman"/>
          <w:bCs/>
          <w:color w:val="000000"/>
          <w:sz w:val="24"/>
          <w:szCs w:val="24"/>
        </w:rPr>
        <w:t>’</w:t>
      </w:r>
      <w:r w:rsidRPr="005E41BC">
        <w:rPr>
          <w:rFonts w:ascii="Calibri" w:eastAsia="Calibri" w:hAnsi="Calibri" w:cs="Times New Roman"/>
          <w:bCs/>
          <w:color w:val="000000"/>
          <w:sz w:val="24"/>
          <w:szCs w:val="24"/>
        </w:rPr>
        <w:t>s data collection, reporting, and disclosure requirements, and the purpose of these requirements.</w:t>
      </w:r>
    </w:p>
    <w:p w:rsidR="005E41BC" w:rsidRPr="005E41BC" w:rsidRDefault="005E41BC" w:rsidP="00923CEF">
      <w:pPr>
        <w:numPr>
          <w:ilvl w:val="0"/>
          <w:numId w:val="2"/>
        </w:numPr>
        <w:spacing w:before="120" w:after="120" w:line="259" w:lineRule="auto"/>
        <w:rPr>
          <w:rFonts w:ascii="Calibri" w:eastAsia="Calibri" w:hAnsi="Calibri" w:cs="Times New Roman"/>
          <w:bCs/>
          <w:color w:val="000000"/>
          <w:sz w:val="24"/>
          <w:szCs w:val="24"/>
        </w:rPr>
      </w:pPr>
      <w:r w:rsidRPr="005E41BC">
        <w:rPr>
          <w:rFonts w:ascii="Calibri" w:eastAsia="Calibri" w:hAnsi="Calibri" w:cs="Times New Roman"/>
          <w:bCs/>
          <w:i/>
          <w:iCs/>
          <w:color w:val="000000"/>
          <w:sz w:val="24"/>
          <w:szCs w:val="24"/>
        </w:rPr>
        <w:t>Getting It Right</w:t>
      </w:r>
      <w:r w:rsidRPr="005E41BC">
        <w:rPr>
          <w:rFonts w:ascii="Calibri" w:eastAsia="Calibri" w:hAnsi="Calibri" w:cs="Times New Roman"/>
          <w:bCs/>
          <w:color w:val="000000"/>
          <w:sz w:val="24"/>
          <w:szCs w:val="24"/>
        </w:rPr>
        <w:t> can serve as a useful compliance resource for supervised financial institutions.</w:t>
      </w:r>
    </w:p>
    <w:p w:rsidR="005E41BC" w:rsidRPr="005E41BC" w:rsidRDefault="005E41BC" w:rsidP="00923CEF">
      <w:pPr>
        <w:numPr>
          <w:ilvl w:val="0"/>
          <w:numId w:val="2"/>
        </w:numPr>
        <w:spacing w:before="120" w:after="120" w:line="259" w:lineRule="auto"/>
        <w:rPr>
          <w:rFonts w:ascii="Calibri" w:eastAsia="Calibri" w:hAnsi="Calibri" w:cs="Times New Roman"/>
          <w:bCs/>
          <w:color w:val="000000"/>
          <w:sz w:val="24"/>
          <w:szCs w:val="24"/>
        </w:rPr>
      </w:pPr>
      <w:r w:rsidRPr="005E41BC">
        <w:rPr>
          <w:rFonts w:ascii="Calibri" w:eastAsia="Calibri" w:hAnsi="Calibri" w:cs="Times New Roman"/>
          <w:bCs/>
          <w:color w:val="000000"/>
          <w:sz w:val="24"/>
          <w:szCs w:val="24"/>
        </w:rPr>
        <w:t>The FFIEC has revised </w:t>
      </w:r>
      <w:r w:rsidRPr="005E41BC">
        <w:rPr>
          <w:rFonts w:ascii="Calibri" w:eastAsia="Calibri" w:hAnsi="Calibri" w:cs="Times New Roman"/>
          <w:bCs/>
          <w:i/>
          <w:iCs/>
          <w:color w:val="000000"/>
          <w:sz w:val="24"/>
          <w:szCs w:val="24"/>
        </w:rPr>
        <w:t>Getting It Right</w:t>
      </w:r>
      <w:r w:rsidRPr="005E41BC">
        <w:rPr>
          <w:rFonts w:ascii="Calibri" w:eastAsia="Calibri" w:hAnsi="Calibri" w:cs="Times New Roman"/>
          <w:bCs/>
          <w:color w:val="000000"/>
          <w:sz w:val="24"/>
          <w:szCs w:val="24"/>
        </w:rPr>
        <w:t> to reflect revisions to Regulation C included in the October 2015 HMDA Final Rule, as amended in 2017.</w:t>
      </w:r>
    </w:p>
    <w:p w:rsidR="005E41BC" w:rsidRPr="005E41BC" w:rsidRDefault="005E41BC" w:rsidP="00923CEF">
      <w:pPr>
        <w:numPr>
          <w:ilvl w:val="0"/>
          <w:numId w:val="2"/>
        </w:numPr>
        <w:spacing w:before="120" w:after="120" w:line="259" w:lineRule="auto"/>
        <w:rPr>
          <w:rFonts w:ascii="Calibri" w:eastAsia="Calibri" w:hAnsi="Calibri" w:cs="Times New Roman"/>
          <w:bCs/>
          <w:color w:val="000000"/>
          <w:sz w:val="24"/>
          <w:szCs w:val="24"/>
        </w:rPr>
      </w:pPr>
      <w:r w:rsidRPr="005E41BC">
        <w:rPr>
          <w:rFonts w:ascii="Calibri" w:eastAsia="Calibri" w:hAnsi="Calibri" w:cs="Times New Roman"/>
          <w:bCs/>
          <w:color w:val="000000"/>
          <w:sz w:val="24"/>
          <w:szCs w:val="24"/>
        </w:rPr>
        <w:t xml:space="preserve">On December 21, 2017, the FDIC issued a </w:t>
      </w:r>
      <w:r w:rsidR="00923CEF">
        <w:rPr>
          <w:rFonts w:ascii="Calibri" w:eastAsia="Calibri" w:hAnsi="Calibri" w:cs="Times New Roman"/>
          <w:bCs/>
          <w:color w:val="000000"/>
          <w:sz w:val="24"/>
          <w:szCs w:val="24"/>
        </w:rPr>
        <w:t>“</w:t>
      </w:r>
      <w:r w:rsidRPr="005E41BC">
        <w:rPr>
          <w:rFonts w:ascii="Calibri" w:eastAsia="Calibri" w:hAnsi="Calibri" w:cs="Times New Roman"/>
          <w:bCs/>
          <w:color w:val="000000"/>
          <w:sz w:val="24"/>
          <w:szCs w:val="24"/>
        </w:rPr>
        <w:t>Statement on Institutions</w:t>
      </w:r>
      <w:r w:rsidR="00923CEF">
        <w:rPr>
          <w:rFonts w:ascii="Calibri" w:eastAsia="Calibri" w:hAnsi="Calibri" w:cs="Times New Roman"/>
          <w:bCs/>
          <w:color w:val="000000"/>
          <w:sz w:val="24"/>
          <w:szCs w:val="24"/>
        </w:rPr>
        <w:t>’</w:t>
      </w:r>
      <w:r w:rsidRPr="005E41BC">
        <w:rPr>
          <w:rFonts w:ascii="Calibri" w:eastAsia="Calibri" w:hAnsi="Calibri" w:cs="Times New Roman"/>
          <w:bCs/>
          <w:color w:val="000000"/>
          <w:sz w:val="24"/>
          <w:szCs w:val="24"/>
        </w:rPr>
        <w:t xml:space="preserve"> Good Faith Compliance Efforts,</w:t>
      </w:r>
      <w:r w:rsidR="00923CEF">
        <w:rPr>
          <w:rFonts w:ascii="Calibri" w:eastAsia="Calibri" w:hAnsi="Calibri" w:cs="Times New Roman"/>
          <w:bCs/>
          <w:color w:val="000000"/>
          <w:sz w:val="24"/>
          <w:szCs w:val="24"/>
        </w:rPr>
        <w:t>”</w:t>
      </w:r>
      <w:r w:rsidRPr="005E41BC">
        <w:rPr>
          <w:rFonts w:ascii="Calibri" w:eastAsia="Calibri" w:hAnsi="Calibri" w:cs="Times New Roman"/>
          <w:bCs/>
          <w:color w:val="000000"/>
          <w:sz w:val="24"/>
          <w:szCs w:val="24"/>
        </w:rPr>
        <w:t xml:space="preserve"> which clarifies that, in recognition of the significant systems and operational challenges required to implement the final rule, FDIC examinations of 2018 HMDA data will be diagnostic (i.e., to help institutions identify compliance weaknesses) and will credit good faith compliance efforts.</w:t>
      </w:r>
    </w:p>
    <w:p w:rsidR="005E41BC" w:rsidRPr="005E41BC" w:rsidRDefault="005E41BC" w:rsidP="00923CEF">
      <w:pPr>
        <w:numPr>
          <w:ilvl w:val="0"/>
          <w:numId w:val="2"/>
        </w:numPr>
        <w:spacing w:before="120" w:after="120" w:line="259" w:lineRule="auto"/>
        <w:rPr>
          <w:rFonts w:ascii="Calibri" w:eastAsia="Calibri" w:hAnsi="Calibri" w:cs="Times New Roman"/>
          <w:bCs/>
          <w:color w:val="000000"/>
          <w:sz w:val="24"/>
          <w:szCs w:val="24"/>
        </w:rPr>
      </w:pPr>
      <w:r w:rsidRPr="005E41BC">
        <w:rPr>
          <w:rFonts w:ascii="Calibri" w:eastAsia="Calibri" w:hAnsi="Calibri" w:cs="Times New Roman"/>
          <w:bCs/>
          <w:color w:val="000000"/>
          <w:sz w:val="24"/>
          <w:szCs w:val="24"/>
        </w:rPr>
        <w:t>In addition, the FDIC has developed a new method for institutions and their consumer compliance personnel to opt in to receive alerts when the FDIC</w:t>
      </w:r>
      <w:r w:rsidR="00923CEF">
        <w:rPr>
          <w:rFonts w:ascii="Calibri" w:eastAsia="Calibri" w:hAnsi="Calibri" w:cs="Times New Roman"/>
          <w:bCs/>
          <w:color w:val="000000"/>
          <w:sz w:val="24"/>
          <w:szCs w:val="24"/>
        </w:rPr>
        <w:t>’</w:t>
      </w:r>
      <w:r w:rsidRPr="005E41BC">
        <w:rPr>
          <w:rFonts w:ascii="Calibri" w:eastAsia="Calibri" w:hAnsi="Calibri" w:cs="Times New Roman"/>
          <w:bCs/>
          <w:color w:val="000000"/>
          <w:sz w:val="24"/>
          <w:szCs w:val="24"/>
        </w:rPr>
        <w:t>s Compliance Examination Manual (CEM) is updated or revised. To be notified when the CEM is updated, register on the FDIC</w:t>
      </w:r>
      <w:r w:rsidR="00923CEF">
        <w:rPr>
          <w:rFonts w:ascii="Calibri" w:eastAsia="Calibri" w:hAnsi="Calibri" w:cs="Times New Roman"/>
          <w:bCs/>
          <w:color w:val="000000"/>
          <w:sz w:val="24"/>
          <w:szCs w:val="24"/>
        </w:rPr>
        <w:t>’</w:t>
      </w:r>
      <w:r w:rsidRPr="005E41BC">
        <w:rPr>
          <w:rFonts w:ascii="Calibri" w:eastAsia="Calibri" w:hAnsi="Calibri" w:cs="Times New Roman"/>
          <w:bCs/>
          <w:color w:val="000000"/>
          <w:sz w:val="24"/>
          <w:szCs w:val="24"/>
        </w:rPr>
        <w:t>s Email Updates webpage at </w:t>
      </w:r>
      <w:hyperlink r:id="rId10" w:history="1">
        <w:r w:rsidRPr="005E41BC">
          <w:rPr>
            <w:rStyle w:val="Hyperlink"/>
            <w:rFonts w:ascii="Calibri" w:eastAsia="Calibri" w:hAnsi="Calibri"/>
            <w:bCs/>
            <w:sz w:val="24"/>
            <w:szCs w:val="24"/>
          </w:rPr>
          <w:t>https://service.govdelivery.com/accounts/USFDIC/subscriber/new</w:t>
        </w:r>
      </w:hyperlink>
      <w:r w:rsidRPr="005E41BC">
        <w:rPr>
          <w:rFonts w:ascii="Calibri" w:eastAsia="Calibri" w:hAnsi="Calibri" w:cs="Times New Roman"/>
          <w:bCs/>
          <w:color w:val="000000"/>
          <w:sz w:val="24"/>
          <w:szCs w:val="24"/>
        </w:rPr>
        <w:t>.</w:t>
      </w:r>
    </w:p>
    <w:p w:rsidR="005E41BC" w:rsidRPr="005E41BC" w:rsidRDefault="00CC73A1" w:rsidP="00923CEF">
      <w:pPr>
        <w:numPr>
          <w:ilvl w:val="0"/>
          <w:numId w:val="3"/>
        </w:numPr>
        <w:spacing w:before="120" w:after="120" w:line="259" w:lineRule="auto"/>
        <w:rPr>
          <w:rFonts w:ascii="Calibri" w:eastAsia="Calibri" w:hAnsi="Calibri" w:cs="Times New Roman"/>
          <w:bCs/>
          <w:color w:val="000000"/>
          <w:sz w:val="24"/>
          <w:szCs w:val="24"/>
        </w:rPr>
      </w:pPr>
      <w:hyperlink r:id="rId11" w:history="1">
        <w:r w:rsidR="005E41BC" w:rsidRPr="005E41BC">
          <w:rPr>
            <w:rStyle w:val="Hyperlink"/>
            <w:rFonts w:ascii="Calibri" w:eastAsia="Calibri" w:hAnsi="Calibri"/>
            <w:bCs/>
            <w:sz w:val="24"/>
            <w:szCs w:val="24"/>
          </w:rPr>
          <w:t>FIL-63-2017</w:t>
        </w:r>
      </w:hyperlink>
      <w:r w:rsidR="005E41BC" w:rsidRPr="005E41BC">
        <w:rPr>
          <w:rFonts w:ascii="Calibri" w:eastAsia="Calibri" w:hAnsi="Calibri" w:cs="Times New Roman"/>
          <w:bCs/>
          <w:color w:val="000000"/>
          <w:sz w:val="24"/>
          <w:szCs w:val="24"/>
        </w:rPr>
        <w:t xml:space="preserve">, </w:t>
      </w:r>
      <w:r w:rsidR="00923CEF">
        <w:rPr>
          <w:rFonts w:ascii="Calibri" w:eastAsia="Calibri" w:hAnsi="Calibri" w:cs="Times New Roman"/>
          <w:bCs/>
          <w:color w:val="000000"/>
          <w:sz w:val="24"/>
          <w:szCs w:val="24"/>
        </w:rPr>
        <w:t>“</w:t>
      </w:r>
      <w:r w:rsidR="005E41BC" w:rsidRPr="005E41BC">
        <w:rPr>
          <w:rFonts w:ascii="Calibri" w:eastAsia="Calibri" w:hAnsi="Calibri" w:cs="Times New Roman"/>
          <w:bCs/>
          <w:color w:val="000000"/>
          <w:sz w:val="24"/>
          <w:szCs w:val="24"/>
        </w:rPr>
        <w:t>Statement on Financial Institutions</w:t>
      </w:r>
      <w:r w:rsidR="00923CEF">
        <w:rPr>
          <w:rFonts w:ascii="Calibri" w:eastAsia="Calibri" w:hAnsi="Calibri" w:cs="Times New Roman"/>
          <w:bCs/>
          <w:color w:val="000000"/>
          <w:sz w:val="24"/>
          <w:szCs w:val="24"/>
        </w:rPr>
        <w:t>’</w:t>
      </w:r>
      <w:r w:rsidR="005E41BC" w:rsidRPr="005E41BC">
        <w:rPr>
          <w:rFonts w:ascii="Calibri" w:eastAsia="Calibri" w:hAnsi="Calibri" w:cs="Times New Roman"/>
          <w:bCs/>
          <w:color w:val="000000"/>
          <w:sz w:val="24"/>
          <w:szCs w:val="24"/>
        </w:rPr>
        <w:t xml:space="preserve"> Good Faith Compliance Efforts</w:t>
      </w:r>
      <w:r w:rsidR="00923CEF">
        <w:rPr>
          <w:rFonts w:ascii="Calibri" w:eastAsia="Calibri" w:hAnsi="Calibri" w:cs="Times New Roman"/>
          <w:bCs/>
          <w:color w:val="000000"/>
          <w:sz w:val="24"/>
          <w:szCs w:val="24"/>
        </w:rPr>
        <w:t>”</w:t>
      </w:r>
    </w:p>
    <w:p w:rsidR="005E41BC" w:rsidRPr="005E41BC" w:rsidRDefault="005E41BC" w:rsidP="00923CEF">
      <w:pPr>
        <w:spacing w:before="120" w:after="120" w:line="259" w:lineRule="auto"/>
        <w:rPr>
          <w:rFonts w:ascii="Calibri" w:eastAsia="Calibri" w:hAnsi="Calibri" w:cs="Times New Roman"/>
          <w:b/>
          <w:bCs/>
          <w:color w:val="000000"/>
          <w:sz w:val="24"/>
          <w:szCs w:val="24"/>
        </w:rPr>
      </w:pPr>
      <w:r w:rsidRPr="005E41BC">
        <w:rPr>
          <w:rFonts w:ascii="Calibri" w:eastAsia="Calibri" w:hAnsi="Calibri" w:cs="Times New Roman"/>
          <w:b/>
          <w:bCs/>
          <w:color w:val="000000"/>
          <w:sz w:val="24"/>
          <w:szCs w:val="24"/>
        </w:rPr>
        <w:t>Attachments:</w:t>
      </w:r>
    </w:p>
    <w:p w:rsidR="0071614F" w:rsidRPr="005E41BC" w:rsidRDefault="00CC73A1" w:rsidP="00923CEF">
      <w:pPr>
        <w:numPr>
          <w:ilvl w:val="0"/>
          <w:numId w:val="4"/>
        </w:numPr>
        <w:spacing w:before="120" w:after="120" w:line="259" w:lineRule="auto"/>
        <w:rPr>
          <w:rFonts w:ascii="Calibri" w:eastAsia="Calibri" w:hAnsi="Calibri" w:cs="Times New Roman"/>
          <w:bCs/>
          <w:color w:val="000000"/>
          <w:sz w:val="24"/>
          <w:szCs w:val="24"/>
        </w:rPr>
      </w:pPr>
      <w:hyperlink r:id="rId12" w:history="1">
        <w:r w:rsidR="005E41BC" w:rsidRPr="005E41BC">
          <w:rPr>
            <w:rStyle w:val="Hyperlink"/>
            <w:rFonts w:ascii="Calibri" w:eastAsia="Calibri" w:hAnsi="Calibri"/>
            <w:bCs/>
            <w:i/>
            <w:iCs/>
            <w:sz w:val="24"/>
            <w:szCs w:val="24"/>
          </w:rPr>
          <w:t>A Guide to HMDA Reporting: Getting It Right!</w:t>
        </w:r>
      </w:hyperlink>
    </w:p>
    <w:p w:rsidR="0071614F" w:rsidRPr="000C7C83" w:rsidRDefault="0071614F"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13" w:history="1">
        <w:r w:rsidR="005E41BC" w:rsidRPr="005E41BC">
          <w:rPr>
            <w:rStyle w:val="Hyperlink"/>
            <w:rFonts w:ascii="Calibri" w:eastAsia="Calibri" w:hAnsi="Calibri"/>
            <w:b/>
            <w:bCs/>
            <w:sz w:val="24"/>
            <w:szCs w:val="24"/>
          </w:rPr>
          <w:t>link</w:t>
        </w:r>
      </w:hyperlink>
      <w:r w:rsidR="005E41BC">
        <w:rPr>
          <w:rFonts w:ascii="Calibri" w:eastAsia="Calibri" w:hAnsi="Calibri" w:cs="Times New Roman"/>
          <w:b/>
          <w:bCs/>
          <w:color w:val="000000"/>
          <w:sz w:val="24"/>
          <w:szCs w:val="24"/>
        </w:rPr>
        <w:t xml:space="preserve">. </w:t>
      </w:r>
    </w:p>
    <w:p w:rsidR="0071614F" w:rsidRPr="00323369" w:rsidRDefault="0071614F" w:rsidP="00923CEF">
      <w:pPr>
        <w:spacing w:before="120" w:after="120" w:line="259" w:lineRule="auto"/>
        <w:rPr>
          <w:rFonts w:ascii="Calibri" w:eastAsia="Calibri" w:hAnsi="Calibri" w:cs="Times New Roman"/>
          <w:b/>
          <w:i/>
          <w:color w:val="002060"/>
          <w:sz w:val="24"/>
          <w:szCs w:val="24"/>
        </w:rPr>
      </w:pPr>
      <w:r w:rsidRPr="00323369">
        <w:rPr>
          <w:rFonts w:ascii="Calibri" w:eastAsia="Calibri" w:hAnsi="Calibri" w:cs="Times New Roman"/>
          <w:b/>
          <w:bCs/>
          <w:i/>
          <w:color w:val="002060"/>
          <w:sz w:val="24"/>
          <w:szCs w:val="24"/>
        </w:rPr>
        <w:t>Comment:</w:t>
      </w:r>
      <w:r w:rsidRPr="00323369">
        <w:rPr>
          <w:rFonts w:ascii="Calibri" w:eastAsia="Calibri" w:hAnsi="Calibri" w:cs="Times New Roman"/>
          <w:b/>
          <w:i/>
          <w:color w:val="002060"/>
          <w:sz w:val="24"/>
          <w:szCs w:val="24"/>
        </w:rPr>
        <w:t xml:space="preserve"> </w:t>
      </w:r>
      <w:r w:rsidR="00866CF4">
        <w:rPr>
          <w:rFonts w:ascii="Calibri" w:eastAsia="Calibri" w:hAnsi="Calibri" w:cs="Times New Roman"/>
          <w:b/>
          <w:i/>
          <w:color w:val="002060"/>
          <w:sz w:val="24"/>
          <w:szCs w:val="24"/>
        </w:rPr>
        <w:t xml:space="preserve">Despite potential HMDA relief making its way through Congress, each bank </w:t>
      </w:r>
      <w:r w:rsidR="00460842">
        <w:rPr>
          <w:rFonts w:ascii="Calibri" w:eastAsia="Calibri" w:hAnsi="Calibri" w:cs="Times New Roman"/>
          <w:b/>
          <w:i/>
          <w:color w:val="002060"/>
          <w:sz w:val="24"/>
          <w:szCs w:val="24"/>
        </w:rPr>
        <w:t xml:space="preserve">subject to HMDA reporting </w:t>
      </w:r>
      <w:r w:rsidR="00866CF4">
        <w:rPr>
          <w:rFonts w:ascii="Calibri" w:eastAsia="Calibri" w:hAnsi="Calibri" w:cs="Times New Roman"/>
          <w:b/>
          <w:i/>
          <w:color w:val="002060"/>
          <w:sz w:val="24"/>
          <w:szCs w:val="24"/>
        </w:rPr>
        <w:t xml:space="preserve">should have an individual </w:t>
      </w:r>
      <w:r w:rsidR="00866CF4" w:rsidRPr="00866CF4">
        <w:rPr>
          <w:rFonts w:ascii="Calibri" w:eastAsia="Calibri" w:hAnsi="Calibri" w:cs="Times New Roman"/>
          <w:b/>
          <w:i/>
          <w:color w:val="002060"/>
          <w:sz w:val="24"/>
          <w:szCs w:val="24"/>
        </w:rPr>
        <w:t xml:space="preserve">focused on </w:t>
      </w:r>
      <w:r w:rsidR="00460842">
        <w:rPr>
          <w:rFonts w:ascii="Calibri" w:eastAsia="Calibri" w:hAnsi="Calibri" w:cs="Times New Roman"/>
          <w:b/>
          <w:i/>
          <w:color w:val="002060"/>
          <w:sz w:val="24"/>
          <w:szCs w:val="24"/>
        </w:rPr>
        <w:t>that task</w:t>
      </w:r>
      <w:r w:rsidR="00866CF4">
        <w:rPr>
          <w:rFonts w:ascii="Calibri" w:eastAsia="Calibri" w:hAnsi="Calibri" w:cs="Times New Roman"/>
          <w:b/>
          <w:i/>
          <w:color w:val="002060"/>
          <w:sz w:val="24"/>
          <w:szCs w:val="24"/>
        </w:rPr>
        <w:t xml:space="preserve">. That individual should </w:t>
      </w:r>
      <w:r w:rsidR="00866CF4" w:rsidRPr="00866CF4">
        <w:rPr>
          <w:rFonts w:ascii="Calibri" w:eastAsia="Calibri" w:hAnsi="Calibri" w:cs="Times New Roman"/>
          <w:b/>
          <w:i/>
          <w:color w:val="002060"/>
          <w:sz w:val="24"/>
          <w:szCs w:val="24"/>
        </w:rPr>
        <w:t xml:space="preserve">parse through this document </w:t>
      </w:r>
      <w:proofErr w:type="gramStart"/>
      <w:r w:rsidR="00866CF4" w:rsidRPr="00866CF4">
        <w:rPr>
          <w:rFonts w:ascii="Calibri" w:eastAsia="Calibri" w:hAnsi="Calibri" w:cs="Times New Roman"/>
          <w:b/>
          <w:i/>
          <w:color w:val="002060"/>
          <w:sz w:val="24"/>
          <w:szCs w:val="24"/>
        </w:rPr>
        <w:t>o</w:t>
      </w:r>
      <w:r w:rsidR="00460842">
        <w:rPr>
          <w:rFonts w:ascii="Calibri" w:eastAsia="Calibri" w:hAnsi="Calibri" w:cs="Times New Roman"/>
          <w:b/>
          <w:i/>
          <w:color w:val="002060"/>
          <w:sz w:val="24"/>
          <w:szCs w:val="24"/>
        </w:rPr>
        <w:t>ver and over again</w:t>
      </w:r>
      <w:proofErr w:type="gramEnd"/>
      <w:r w:rsidR="00460842">
        <w:rPr>
          <w:rFonts w:ascii="Calibri" w:eastAsia="Calibri" w:hAnsi="Calibri" w:cs="Times New Roman"/>
          <w:b/>
          <w:i/>
          <w:color w:val="002060"/>
          <w:sz w:val="24"/>
          <w:szCs w:val="24"/>
        </w:rPr>
        <w:t xml:space="preserve"> to actually </w:t>
      </w:r>
      <w:r w:rsidR="00923CEF">
        <w:rPr>
          <w:rFonts w:ascii="Calibri" w:eastAsia="Calibri" w:hAnsi="Calibri" w:cs="Times New Roman"/>
          <w:b/>
          <w:i/>
          <w:color w:val="002060"/>
          <w:sz w:val="24"/>
          <w:szCs w:val="24"/>
        </w:rPr>
        <w:t>‘</w:t>
      </w:r>
      <w:r w:rsidR="00866CF4" w:rsidRPr="00866CF4">
        <w:rPr>
          <w:rFonts w:ascii="Calibri" w:eastAsia="Calibri" w:hAnsi="Calibri" w:cs="Times New Roman"/>
          <w:b/>
          <w:i/>
          <w:color w:val="002060"/>
          <w:sz w:val="24"/>
          <w:szCs w:val="24"/>
        </w:rPr>
        <w:t>get it right</w:t>
      </w:r>
      <w:r w:rsidR="00866CF4">
        <w:rPr>
          <w:rFonts w:ascii="Calibri" w:eastAsia="Calibri" w:hAnsi="Calibri" w:cs="Times New Roman"/>
          <w:b/>
          <w:i/>
          <w:color w:val="002060"/>
          <w:sz w:val="24"/>
          <w:szCs w:val="24"/>
        </w:rPr>
        <w:t>.</w:t>
      </w:r>
      <w:r w:rsidR="00923CEF">
        <w:rPr>
          <w:rFonts w:ascii="Calibri" w:eastAsia="Calibri" w:hAnsi="Calibri" w:cs="Times New Roman"/>
          <w:b/>
          <w:i/>
          <w:color w:val="002060"/>
          <w:sz w:val="24"/>
          <w:szCs w:val="24"/>
        </w:rPr>
        <w:t>’</w:t>
      </w:r>
      <w:r w:rsidR="00866CF4">
        <w:rPr>
          <w:rFonts w:ascii="Calibri" w:eastAsia="Calibri" w:hAnsi="Calibri" w:cs="Times New Roman"/>
          <w:b/>
          <w:i/>
          <w:color w:val="002060"/>
          <w:sz w:val="24"/>
          <w:szCs w:val="24"/>
        </w:rPr>
        <w:t xml:space="preserve"> While it looks like smaller banks may be exempted from </w:t>
      </w:r>
      <w:r w:rsidR="008F5CD0">
        <w:rPr>
          <w:rFonts w:ascii="Calibri" w:eastAsia="Calibri" w:hAnsi="Calibri" w:cs="Times New Roman"/>
          <w:b/>
          <w:i/>
          <w:color w:val="002060"/>
          <w:sz w:val="24"/>
          <w:szCs w:val="24"/>
        </w:rPr>
        <w:t>reporting on the</w:t>
      </w:r>
      <w:r w:rsidR="00866CF4">
        <w:rPr>
          <w:rFonts w:ascii="Calibri" w:eastAsia="Calibri" w:hAnsi="Calibri" w:cs="Times New Roman"/>
          <w:b/>
          <w:i/>
          <w:color w:val="002060"/>
          <w:sz w:val="24"/>
          <w:szCs w:val="24"/>
        </w:rPr>
        <w:t xml:space="preserve"> expanded data fields, they may nonetheless have data</w:t>
      </w:r>
      <w:r w:rsidR="00460842">
        <w:rPr>
          <w:rFonts w:ascii="Calibri" w:eastAsia="Calibri" w:hAnsi="Calibri" w:cs="Times New Roman"/>
          <w:b/>
          <w:i/>
          <w:color w:val="002060"/>
          <w:sz w:val="24"/>
          <w:szCs w:val="24"/>
        </w:rPr>
        <w:t xml:space="preserve"> reporting requirements</w:t>
      </w:r>
      <w:r w:rsidR="00866CF4">
        <w:rPr>
          <w:rFonts w:ascii="Calibri" w:eastAsia="Calibri" w:hAnsi="Calibri" w:cs="Times New Roman"/>
          <w:b/>
          <w:i/>
          <w:color w:val="002060"/>
          <w:sz w:val="24"/>
          <w:szCs w:val="24"/>
        </w:rPr>
        <w:t xml:space="preserve"> </w:t>
      </w:r>
      <w:proofErr w:type="gramStart"/>
      <w:r w:rsidR="00866CF4">
        <w:rPr>
          <w:rFonts w:ascii="Calibri" w:eastAsia="Calibri" w:hAnsi="Calibri" w:cs="Times New Roman"/>
          <w:b/>
          <w:i/>
          <w:color w:val="002060"/>
          <w:sz w:val="24"/>
          <w:szCs w:val="24"/>
        </w:rPr>
        <w:t>similar to</w:t>
      </w:r>
      <w:proofErr w:type="gramEnd"/>
      <w:r w:rsidR="00866CF4">
        <w:rPr>
          <w:rFonts w:ascii="Calibri" w:eastAsia="Calibri" w:hAnsi="Calibri" w:cs="Times New Roman"/>
          <w:b/>
          <w:i/>
          <w:color w:val="002060"/>
          <w:sz w:val="24"/>
          <w:szCs w:val="24"/>
        </w:rPr>
        <w:t xml:space="preserve"> 2017. </w:t>
      </w:r>
    </w:p>
    <w:p w:rsidR="000C7C83" w:rsidRPr="00FB1BFE" w:rsidRDefault="00A52376" w:rsidP="00923CEF">
      <w:pPr>
        <w:pStyle w:val="CCTOCHeading"/>
        <w:spacing w:line="259" w:lineRule="auto"/>
        <w:rPr>
          <w:rFonts w:asciiTheme="minorHAnsi" w:hAnsiTheme="minorHAnsi" w:cstheme="minorHAnsi"/>
        </w:rPr>
      </w:pPr>
      <w:bookmarkStart w:id="9" w:name="_Toc509412611"/>
      <w:r w:rsidRPr="00436AD8">
        <w:rPr>
          <w:rFonts w:asciiTheme="minorHAnsi" w:hAnsiTheme="minorHAnsi" w:cstheme="minorHAnsi"/>
        </w:rPr>
        <w:t>CFPB actions</w:t>
      </w:r>
      <w:bookmarkEnd w:id="2"/>
      <w:bookmarkEnd w:id="3"/>
      <w:r w:rsidRPr="00436AD8">
        <w:rPr>
          <w:rFonts w:asciiTheme="minorHAnsi" w:hAnsiTheme="minorHAnsi" w:cstheme="minorHAnsi"/>
        </w:rPr>
        <w:t xml:space="preserve"> </w:t>
      </w:r>
      <w:bookmarkStart w:id="10" w:name="_Toc504138794"/>
      <w:bookmarkStart w:id="11" w:name="_Hlk495909581"/>
      <w:bookmarkStart w:id="12" w:name="_Hlk493338318"/>
      <w:bookmarkStart w:id="13" w:name="_Toc409519094"/>
      <w:bookmarkStart w:id="14" w:name="_Hlk501111191"/>
      <w:bookmarkStart w:id="15" w:name="_Hlk498321497"/>
      <w:bookmarkEnd w:id="4"/>
      <w:r w:rsidR="006E7501" w:rsidRPr="006E7501">
        <w:rPr>
          <w:rFonts w:asciiTheme="minorHAnsi" w:hAnsiTheme="minorHAnsi" w:cstheme="minorHAnsi"/>
        </w:rPr>
        <w:t>and news</w:t>
      </w:r>
      <w:bookmarkEnd w:id="9"/>
    </w:p>
    <w:p w:rsidR="00200A97" w:rsidRPr="000C7C83" w:rsidRDefault="00200A97" w:rsidP="00923CEF">
      <w:pPr>
        <w:spacing w:before="120" w:after="120" w:line="259" w:lineRule="auto"/>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CFPB</w:t>
      </w:r>
      <w:r w:rsidRPr="00200A97">
        <w:rPr>
          <w:rFonts w:ascii="Calibri" w:eastAsia="Calibri" w:hAnsi="Calibri" w:cs="Times New Roman"/>
          <w:b/>
          <w:bCs/>
          <w:i/>
          <w:color w:val="000000" w:themeColor="text1"/>
          <w:sz w:val="24"/>
          <w:szCs w:val="24"/>
        </w:rPr>
        <w:t xml:space="preserve"> Accepting Applications </w:t>
      </w:r>
      <w:r>
        <w:rPr>
          <w:rFonts w:ascii="Calibri" w:eastAsia="Calibri" w:hAnsi="Calibri" w:cs="Times New Roman"/>
          <w:b/>
          <w:bCs/>
          <w:i/>
          <w:color w:val="000000" w:themeColor="text1"/>
          <w:sz w:val="24"/>
          <w:szCs w:val="24"/>
        </w:rPr>
        <w:t>f</w:t>
      </w:r>
      <w:r w:rsidRPr="00200A97">
        <w:rPr>
          <w:rFonts w:ascii="Calibri" w:eastAsia="Calibri" w:hAnsi="Calibri" w:cs="Times New Roman"/>
          <w:b/>
          <w:bCs/>
          <w:i/>
          <w:color w:val="000000" w:themeColor="text1"/>
          <w:sz w:val="24"/>
          <w:szCs w:val="24"/>
        </w:rPr>
        <w:t xml:space="preserve">or Advisory Board </w:t>
      </w:r>
      <w:r>
        <w:rPr>
          <w:rFonts w:ascii="Calibri" w:eastAsia="Calibri" w:hAnsi="Calibri" w:cs="Times New Roman"/>
          <w:b/>
          <w:bCs/>
          <w:i/>
          <w:color w:val="000000" w:themeColor="text1"/>
          <w:sz w:val="24"/>
          <w:szCs w:val="24"/>
        </w:rPr>
        <w:t>a</w:t>
      </w:r>
      <w:r w:rsidRPr="00200A97">
        <w:rPr>
          <w:rFonts w:ascii="Calibri" w:eastAsia="Calibri" w:hAnsi="Calibri" w:cs="Times New Roman"/>
          <w:b/>
          <w:bCs/>
          <w:i/>
          <w:color w:val="000000" w:themeColor="text1"/>
          <w:sz w:val="24"/>
          <w:szCs w:val="24"/>
        </w:rPr>
        <w:t xml:space="preserve">nd Councils (ABC) </w:t>
      </w:r>
      <w:r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03.19.2018</w:t>
      </w:r>
      <w:r w:rsidRPr="000C7C83">
        <w:rPr>
          <w:rFonts w:ascii="Calibri" w:eastAsia="Calibri" w:hAnsi="Calibri" w:cs="Times New Roman"/>
          <w:b/>
          <w:bCs/>
          <w:i/>
          <w:color w:val="000000" w:themeColor="text1"/>
          <w:sz w:val="24"/>
          <w:szCs w:val="24"/>
        </w:rPr>
        <w:t>)</w:t>
      </w:r>
      <w:r w:rsidR="003F5638">
        <w:rPr>
          <w:rFonts w:ascii="Calibri" w:eastAsia="Calibri" w:hAnsi="Calibri" w:cs="Times New Roman"/>
          <w:b/>
          <w:bCs/>
          <w:i/>
          <w:color w:val="000000" w:themeColor="text1"/>
          <w:sz w:val="24"/>
          <w:szCs w:val="24"/>
        </w:rPr>
        <w:t xml:space="preserve"> </w:t>
      </w:r>
      <w:r w:rsidR="003F5638">
        <w:rPr>
          <w:rFonts w:ascii="Calibri" w:eastAsia="Calibri" w:hAnsi="Calibri" w:cs="Times New Roman"/>
          <w:b/>
          <w:bCs/>
          <w:i/>
          <w:noProof/>
          <w:color w:val="000000" w:themeColor="text1"/>
          <w:sz w:val="24"/>
          <w:szCs w:val="24"/>
        </w:rPr>
        <w:drawing>
          <wp:inline distT="0" distB="0" distL="0" distR="0" wp14:anchorId="1EBA5DA9">
            <wp:extent cx="274320"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200A97" w:rsidRPr="00200A97" w:rsidRDefault="00200A97" w:rsidP="00923CEF">
      <w:pPr>
        <w:spacing w:before="120" w:after="120" w:line="259" w:lineRule="auto"/>
        <w:rPr>
          <w:rFonts w:ascii="Calibri" w:eastAsia="Calibri" w:hAnsi="Calibri" w:cs="Times New Roman"/>
          <w:bCs/>
          <w:color w:val="000000"/>
          <w:sz w:val="24"/>
          <w:szCs w:val="24"/>
        </w:rPr>
      </w:pPr>
      <w:r w:rsidRPr="00200A97">
        <w:rPr>
          <w:rFonts w:ascii="Calibri" w:eastAsia="Calibri" w:hAnsi="Calibri" w:cs="Times New Roman"/>
          <w:bCs/>
          <w:color w:val="000000"/>
          <w:sz w:val="24"/>
          <w:szCs w:val="24"/>
        </w:rPr>
        <w:t>To be sure that we hear from a variety of experts with diverse viewpoints, we set up the Consumer Advisory Board, the Community Bank Advisory Council, and the Credit Union Advisory Council. These advisory groups provide us with information about emerging trends and practices in the consumer financial marketplace.  They also allow us to hear directly from small financial institutions.</w:t>
      </w:r>
    </w:p>
    <w:p w:rsidR="00200A97" w:rsidRPr="00200A97" w:rsidRDefault="00200A97" w:rsidP="00923CEF">
      <w:pPr>
        <w:spacing w:before="120" w:after="120" w:line="259" w:lineRule="auto"/>
        <w:rPr>
          <w:rFonts w:ascii="Calibri" w:eastAsia="Calibri" w:hAnsi="Calibri" w:cs="Times New Roman"/>
          <w:bCs/>
          <w:color w:val="000000"/>
          <w:sz w:val="24"/>
          <w:szCs w:val="24"/>
        </w:rPr>
      </w:pPr>
      <w:r w:rsidRPr="00200A97">
        <w:rPr>
          <w:rFonts w:ascii="Calibri" w:eastAsia="Calibri" w:hAnsi="Calibri" w:cs="Times New Roman"/>
          <w:bCs/>
          <w:color w:val="000000"/>
          <w:sz w:val="24"/>
          <w:szCs w:val="24"/>
        </w:rPr>
        <w:t>Starting today, we</w:t>
      </w:r>
      <w:r w:rsidR="00923CEF">
        <w:rPr>
          <w:rFonts w:ascii="Calibri" w:eastAsia="Calibri" w:hAnsi="Calibri" w:cs="Times New Roman"/>
          <w:bCs/>
          <w:color w:val="000000"/>
          <w:sz w:val="24"/>
          <w:szCs w:val="24"/>
        </w:rPr>
        <w:t>’</w:t>
      </w:r>
      <w:r w:rsidRPr="00200A97">
        <w:rPr>
          <w:rFonts w:ascii="Calibri" w:eastAsia="Calibri" w:hAnsi="Calibri" w:cs="Times New Roman"/>
          <w:bCs/>
          <w:color w:val="000000"/>
          <w:sz w:val="24"/>
          <w:szCs w:val="24"/>
        </w:rPr>
        <w:t xml:space="preserve">re accepting applications for membership in </w:t>
      </w:r>
      <w:proofErr w:type="gramStart"/>
      <w:r w:rsidRPr="00200A97">
        <w:rPr>
          <w:rFonts w:ascii="Calibri" w:eastAsia="Calibri" w:hAnsi="Calibri" w:cs="Times New Roman"/>
          <w:bCs/>
          <w:color w:val="000000"/>
          <w:sz w:val="24"/>
          <w:szCs w:val="24"/>
        </w:rPr>
        <w:t>all of</w:t>
      </w:r>
      <w:proofErr w:type="gramEnd"/>
      <w:r w:rsidRPr="00200A97">
        <w:rPr>
          <w:rFonts w:ascii="Calibri" w:eastAsia="Calibri" w:hAnsi="Calibri" w:cs="Times New Roman"/>
          <w:bCs/>
          <w:color w:val="000000"/>
          <w:sz w:val="24"/>
          <w:szCs w:val="24"/>
        </w:rPr>
        <w:t xml:space="preserve"> our advisory groups. We</w:t>
      </w:r>
      <w:r w:rsidR="00923CEF">
        <w:rPr>
          <w:rFonts w:ascii="Calibri" w:eastAsia="Calibri" w:hAnsi="Calibri" w:cs="Times New Roman"/>
          <w:bCs/>
          <w:color w:val="000000"/>
          <w:sz w:val="24"/>
          <w:szCs w:val="24"/>
        </w:rPr>
        <w:t>’</w:t>
      </w:r>
      <w:r w:rsidRPr="00200A97">
        <w:rPr>
          <w:rFonts w:ascii="Calibri" w:eastAsia="Calibri" w:hAnsi="Calibri" w:cs="Times New Roman"/>
          <w:bCs/>
          <w:color w:val="000000"/>
          <w:sz w:val="24"/>
          <w:szCs w:val="24"/>
        </w:rPr>
        <w:t>re inviting applications from individuals who can provide us with guidance as we carry out our work. </w:t>
      </w:r>
    </w:p>
    <w:p w:rsidR="00200A97" w:rsidRPr="00200A97" w:rsidRDefault="00200A97" w:rsidP="00923CEF">
      <w:pPr>
        <w:spacing w:before="120" w:after="120" w:line="259" w:lineRule="auto"/>
        <w:rPr>
          <w:rFonts w:ascii="Calibri" w:eastAsia="Calibri" w:hAnsi="Calibri" w:cs="Times New Roman"/>
          <w:bCs/>
          <w:color w:val="000000"/>
          <w:sz w:val="24"/>
          <w:szCs w:val="24"/>
        </w:rPr>
      </w:pPr>
      <w:r w:rsidRPr="00200A97">
        <w:rPr>
          <w:rFonts w:ascii="Calibri" w:eastAsia="Calibri" w:hAnsi="Calibri" w:cs="Times New Roman"/>
          <w:bCs/>
          <w:color w:val="000000"/>
          <w:sz w:val="24"/>
          <w:szCs w:val="24"/>
        </w:rPr>
        <w:t>Here</w:t>
      </w:r>
      <w:r w:rsidR="00923CEF">
        <w:rPr>
          <w:rFonts w:ascii="Calibri" w:eastAsia="Calibri" w:hAnsi="Calibri" w:cs="Times New Roman"/>
          <w:bCs/>
          <w:color w:val="000000"/>
          <w:sz w:val="24"/>
          <w:szCs w:val="24"/>
        </w:rPr>
        <w:t>’</w:t>
      </w:r>
      <w:r w:rsidRPr="00200A97">
        <w:rPr>
          <w:rFonts w:ascii="Calibri" w:eastAsia="Calibri" w:hAnsi="Calibri" w:cs="Times New Roman"/>
          <w:bCs/>
          <w:color w:val="000000"/>
          <w:sz w:val="24"/>
          <w:szCs w:val="24"/>
        </w:rPr>
        <w:t>s what we</w:t>
      </w:r>
      <w:r w:rsidR="00923CEF">
        <w:rPr>
          <w:rFonts w:ascii="Calibri" w:eastAsia="Calibri" w:hAnsi="Calibri" w:cs="Times New Roman"/>
          <w:bCs/>
          <w:color w:val="000000"/>
          <w:sz w:val="24"/>
          <w:szCs w:val="24"/>
        </w:rPr>
        <w:t>’</w:t>
      </w:r>
      <w:r w:rsidRPr="00200A97">
        <w:rPr>
          <w:rFonts w:ascii="Calibri" w:eastAsia="Calibri" w:hAnsi="Calibri" w:cs="Times New Roman"/>
          <w:bCs/>
          <w:color w:val="000000"/>
          <w:sz w:val="24"/>
          <w:szCs w:val="24"/>
        </w:rPr>
        <w:t>re looking for:</w:t>
      </w:r>
    </w:p>
    <w:p w:rsidR="00200A97" w:rsidRPr="00DF639F" w:rsidRDefault="00200A97" w:rsidP="00923CEF">
      <w:pPr>
        <w:pStyle w:val="ListParagraph"/>
        <w:numPr>
          <w:ilvl w:val="0"/>
          <w:numId w:val="14"/>
        </w:numPr>
        <w:spacing w:before="120" w:line="259" w:lineRule="auto"/>
        <w:ind w:left="720"/>
        <w:contextualSpacing w:val="0"/>
        <w:rPr>
          <w:rFonts w:ascii="Calibri" w:eastAsia="Calibri" w:hAnsi="Calibri"/>
          <w:bCs/>
          <w:color w:val="000000"/>
        </w:rPr>
      </w:pPr>
      <w:r w:rsidRPr="00DF639F">
        <w:rPr>
          <w:rFonts w:ascii="Calibri" w:eastAsia="Calibri" w:hAnsi="Calibri"/>
          <w:bCs/>
          <w:color w:val="000000"/>
        </w:rPr>
        <w:t>Experts in consumer protection, community development, consumer finance, fair lending, and civil rights</w:t>
      </w:r>
    </w:p>
    <w:p w:rsidR="00200A97" w:rsidRPr="00DF639F" w:rsidRDefault="00200A97" w:rsidP="00923CEF">
      <w:pPr>
        <w:pStyle w:val="ListParagraph"/>
        <w:numPr>
          <w:ilvl w:val="0"/>
          <w:numId w:val="14"/>
        </w:numPr>
        <w:spacing w:line="259" w:lineRule="auto"/>
        <w:ind w:left="720"/>
        <w:contextualSpacing w:val="0"/>
        <w:rPr>
          <w:rFonts w:ascii="Calibri" w:eastAsia="Calibri" w:hAnsi="Calibri"/>
          <w:bCs/>
          <w:color w:val="000000"/>
        </w:rPr>
      </w:pPr>
      <w:r w:rsidRPr="00DF639F">
        <w:rPr>
          <w:rFonts w:ascii="Calibri" w:eastAsia="Calibri" w:hAnsi="Calibri"/>
          <w:bCs/>
          <w:color w:val="000000"/>
        </w:rPr>
        <w:t>Experts in consumer financial products or services</w:t>
      </w:r>
    </w:p>
    <w:p w:rsidR="00200A97" w:rsidRPr="00DF639F" w:rsidRDefault="00200A97" w:rsidP="00923CEF">
      <w:pPr>
        <w:pStyle w:val="ListParagraph"/>
        <w:numPr>
          <w:ilvl w:val="0"/>
          <w:numId w:val="14"/>
        </w:numPr>
        <w:spacing w:line="259" w:lineRule="auto"/>
        <w:ind w:left="720"/>
        <w:contextualSpacing w:val="0"/>
        <w:rPr>
          <w:rFonts w:ascii="Calibri" w:eastAsia="Calibri" w:hAnsi="Calibri"/>
          <w:bCs/>
          <w:color w:val="000000"/>
        </w:rPr>
      </w:pPr>
      <w:r w:rsidRPr="00DF639F">
        <w:rPr>
          <w:rFonts w:ascii="Calibri" w:eastAsia="Calibri" w:hAnsi="Calibri"/>
          <w:bCs/>
          <w:color w:val="000000"/>
        </w:rPr>
        <w:t>Representatives of banks that primarily serve underserved communities</w:t>
      </w:r>
    </w:p>
    <w:p w:rsidR="00200A97" w:rsidRPr="00DF639F" w:rsidRDefault="00200A97" w:rsidP="00923CEF">
      <w:pPr>
        <w:pStyle w:val="ListParagraph"/>
        <w:numPr>
          <w:ilvl w:val="0"/>
          <w:numId w:val="14"/>
        </w:numPr>
        <w:spacing w:line="259" w:lineRule="auto"/>
        <w:ind w:left="720"/>
        <w:contextualSpacing w:val="0"/>
        <w:rPr>
          <w:rFonts w:ascii="Calibri" w:eastAsia="Calibri" w:hAnsi="Calibri"/>
          <w:bCs/>
          <w:color w:val="000000"/>
        </w:rPr>
      </w:pPr>
      <w:r w:rsidRPr="00DF639F">
        <w:rPr>
          <w:rFonts w:ascii="Calibri" w:eastAsia="Calibri" w:hAnsi="Calibri"/>
          <w:bCs/>
          <w:color w:val="000000"/>
        </w:rPr>
        <w:t>Representatives of communities that have been significantly impacted by higher priced mortgage loans</w:t>
      </w:r>
    </w:p>
    <w:p w:rsidR="00200A97" w:rsidRPr="00DF639F" w:rsidRDefault="00200A97" w:rsidP="00923CEF">
      <w:pPr>
        <w:pStyle w:val="ListParagraph"/>
        <w:numPr>
          <w:ilvl w:val="0"/>
          <w:numId w:val="14"/>
        </w:numPr>
        <w:spacing w:line="259" w:lineRule="auto"/>
        <w:ind w:left="720"/>
        <w:contextualSpacing w:val="0"/>
        <w:rPr>
          <w:rFonts w:ascii="Calibri" w:eastAsia="Calibri" w:hAnsi="Calibri"/>
          <w:bCs/>
          <w:color w:val="000000"/>
        </w:rPr>
      </w:pPr>
      <w:r w:rsidRPr="00DF639F">
        <w:rPr>
          <w:rFonts w:ascii="Calibri" w:eastAsia="Calibri" w:hAnsi="Calibri"/>
          <w:bCs/>
          <w:color w:val="000000"/>
        </w:rPr>
        <w:t>Current employees of credit unions and community banks</w:t>
      </w:r>
    </w:p>
    <w:p w:rsidR="00200A97" w:rsidRPr="00DF639F" w:rsidRDefault="00200A97" w:rsidP="00923CEF">
      <w:pPr>
        <w:pStyle w:val="ListParagraph"/>
        <w:numPr>
          <w:ilvl w:val="0"/>
          <w:numId w:val="14"/>
        </w:numPr>
        <w:spacing w:after="120" w:line="259" w:lineRule="auto"/>
        <w:ind w:left="720"/>
        <w:contextualSpacing w:val="0"/>
        <w:rPr>
          <w:rFonts w:ascii="Calibri" w:eastAsia="Calibri" w:hAnsi="Calibri"/>
          <w:bCs/>
          <w:color w:val="000000"/>
        </w:rPr>
      </w:pPr>
      <w:r w:rsidRPr="00DF639F">
        <w:rPr>
          <w:rFonts w:ascii="Calibri" w:eastAsia="Calibri" w:hAnsi="Calibri"/>
          <w:bCs/>
          <w:color w:val="000000"/>
        </w:rPr>
        <w:t>Academics (Experts in consumer finance markets and underserved populations.)</w:t>
      </w:r>
    </w:p>
    <w:p w:rsidR="00200A97" w:rsidRPr="000C7C83" w:rsidRDefault="00200A97"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15" w:history="1">
        <w:r w:rsidRPr="00EF5151">
          <w:rPr>
            <w:rStyle w:val="Hyperlink"/>
            <w:rFonts w:ascii="Calibri" w:eastAsia="Calibri" w:hAnsi="Calibri"/>
            <w:sz w:val="24"/>
            <w:szCs w:val="24"/>
          </w:rPr>
          <w:t>link</w:t>
        </w:r>
      </w:hyperlink>
      <w:r>
        <w:rPr>
          <w:rFonts w:ascii="Calibri" w:eastAsia="Calibri" w:hAnsi="Calibri" w:cs="Times New Roman"/>
          <w:b/>
          <w:bCs/>
          <w:color w:val="000000"/>
          <w:sz w:val="24"/>
          <w:szCs w:val="24"/>
        </w:rPr>
        <w:t xml:space="preserve">. </w:t>
      </w:r>
    </w:p>
    <w:p w:rsidR="00200A97" w:rsidRDefault="00200A97" w:rsidP="00923CEF">
      <w:pPr>
        <w:spacing w:before="120" w:after="120" w:line="259" w:lineRule="auto"/>
        <w:rPr>
          <w:rFonts w:ascii="Calibri" w:eastAsia="Calibri" w:hAnsi="Calibri" w:cs="Times New Roman"/>
          <w:b/>
          <w:bCs/>
          <w:i/>
          <w:color w:val="000000" w:themeColor="text1"/>
          <w:sz w:val="24"/>
          <w:szCs w:val="24"/>
        </w:rPr>
      </w:pPr>
    </w:p>
    <w:p w:rsidR="0071614F" w:rsidRPr="000C7C83" w:rsidRDefault="00655EAC" w:rsidP="00923CEF">
      <w:pPr>
        <w:spacing w:before="120" w:after="120" w:line="259" w:lineRule="auto"/>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CFPB</w:t>
      </w:r>
      <w:r w:rsidR="007F23E8" w:rsidRPr="00195C39">
        <w:rPr>
          <w:rFonts w:ascii="Calibri" w:eastAsia="Calibri" w:hAnsi="Calibri" w:cs="Times New Roman"/>
          <w:b/>
          <w:bCs/>
          <w:i/>
          <w:color w:val="000000" w:themeColor="text1"/>
          <w:sz w:val="24"/>
          <w:szCs w:val="24"/>
        </w:rPr>
        <w:t xml:space="preserve"> Issues Request for Information </w:t>
      </w:r>
      <w:r>
        <w:rPr>
          <w:rFonts w:ascii="Calibri" w:eastAsia="Calibri" w:hAnsi="Calibri" w:cs="Times New Roman"/>
          <w:b/>
          <w:bCs/>
          <w:i/>
          <w:color w:val="000000" w:themeColor="text1"/>
          <w:sz w:val="24"/>
          <w:szCs w:val="24"/>
        </w:rPr>
        <w:t>o</w:t>
      </w:r>
      <w:r w:rsidR="007F23E8" w:rsidRPr="00195C39">
        <w:rPr>
          <w:rFonts w:ascii="Calibri" w:eastAsia="Calibri" w:hAnsi="Calibri" w:cs="Times New Roman"/>
          <w:b/>
          <w:bCs/>
          <w:i/>
          <w:color w:val="000000" w:themeColor="text1"/>
          <w:sz w:val="24"/>
          <w:szCs w:val="24"/>
        </w:rPr>
        <w:t xml:space="preserve">n Adopted Regulations </w:t>
      </w:r>
      <w:r w:rsidR="0059023F">
        <w:rPr>
          <w:rFonts w:ascii="Calibri" w:eastAsia="Calibri" w:hAnsi="Calibri" w:cs="Times New Roman"/>
          <w:b/>
          <w:bCs/>
          <w:i/>
          <w:color w:val="000000" w:themeColor="text1"/>
          <w:sz w:val="24"/>
          <w:szCs w:val="24"/>
        </w:rPr>
        <w:t>a</w:t>
      </w:r>
      <w:r w:rsidR="007F23E8" w:rsidRPr="00195C39">
        <w:rPr>
          <w:rFonts w:ascii="Calibri" w:eastAsia="Calibri" w:hAnsi="Calibri" w:cs="Times New Roman"/>
          <w:b/>
          <w:bCs/>
          <w:i/>
          <w:color w:val="000000" w:themeColor="text1"/>
          <w:sz w:val="24"/>
          <w:szCs w:val="24"/>
        </w:rPr>
        <w:t>nd New Rulemaking Authorities</w:t>
      </w:r>
      <w:r w:rsidR="007F23E8" w:rsidRPr="000C7C83">
        <w:rPr>
          <w:rFonts w:ascii="Calibri" w:eastAsia="Calibri" w:hAnsi="Calibri" w:cs="Times New Roman"/>
          <w:b/>
          <w:bCs/>
          <w:i/>
          <w:color w:val="000000" w:themeColor="text1"/>
          <w:sz w:val="24"/>
          <w:szCs w:val="24"/>
        </w:rPr>
        <w:t xml:space="preserve"> </w:t>
      </w:r>
      <w:r w:rsidR="0071614F" w:rsidRPr="000C7C83">
        <w:rPr>
          <w:rFonts w:ascii="Calibri" w:eastAsia="Calibri" w:hAnsi="Calibri" w:cs="Times New Roman"/>
          <w:b/>
          <w:bCs/>
          <w:i/>
          <w:color w:val="000000" w:themeColor="text1"/>
          <w:sz w:val="24"/>
          <w:szCs w:val="24"/>
        </w:rPr>
        <w:t>(</w:t>
      </w:r>
      <w:r w:rsidR="00195C39">
        <w:rPr>
          <w:rFonts w:ascii="Calibri" w:eastAsia="Calibri" w:hAnsi="Calibri" w:cs="Times New Roman"/>
          <w:b/>
          <w:bCs/>
          <w:i/>
          <w:color w:val="000000" w:themeColor="text1"/>
          <w:sz w:val="24"/>
          <w:szCs w:val="24"/>
        </w:rPr>
        <w:t>03.14.2018</w:t>
      </w:r>
      <w:r w:rsidR="0071614F" w:rsidRPr="000C7C83">
        <w:rPr>
          <w:rFonts w:ascii="Calibri" w:eastAsia="Calibri" w:hAnsi="Calibri" w:cs="Times New Roman"/>
          <w:b/>
          <w:bCs/>
          <w:i/>
          <w:color w:val="000000" w:themeColor="text1"/>
          <w:sz w:val="24"/>
          <w:szCs w:val="24"/>
        </w:rPr>
        <w:t>)</w:t>
      </w:r>
      <w:r w:rsidR="003F5638">
        <w:rPr>
          <w:rFonts w:ascii="Calibri" w:eastAsia="Calibri" w:hAnsi="Calibri" w:cs="Times New Roman"/>
          <w:b/>
          <w:bCs/>
          <w:i/>
          <w:color w:val="000000" w:themeColor="text1"/>
          <w:sz w:val="24"/>
          <w:szCs w:val="24"/>
        </w:rPr>
        <w:t xml:space="preserve"> </w:t>
      </w:r>
      <w:r w:rsidR="003F5638">
        <w:rPr>
          <w:rFonts w:ascii="Calibri" w:eastAsia="Calibri" w:hAnsi="Calibri" w:cs="Times New Roman"/>
          <w:b/>
          <w:bCs/>
          <w:i/>
          <w:noProof/>
          <w:color w:val="000000" w:themeColor="text1"/>
          <w:sz w:val="24"/>
          <w:szCs w:val="24"/>
        </w:rPr>
        <w:drawing>
          <wp:inline distT="0" distB="0" distL="0" distR="0" wp14:anchorId="63557604">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195C39" w:rsidRPr="00195C39" w:rsidRDefault="00195C39" w:rsidP="00923CEF">
      <w:pPr>
        <w:spacing w:before="120" w:after="120" w:line="259" w:lineRule="auto"/>
        <w:rPr>
          <w:rFonts w:ascii="Calibri" w:eastAsia="Calibri" w:hAnsi="Calibri" w:cs="Times New Roman"/>
          <w:bCs/>
          <w:color w:val="000000"/>
          <w:sz w:val="24"/>
          <w:szCs w:val="24"/>
        </w:rPr>
      </w:pPr>
      <w:r w:rsidRPr="00195C39">
        <w:rPr>
          <w:rFonts w:ascii="Calibri" w:eastAsia="Calibri" w:hAnsi="Calibri" w:cs="Times New Roman"/>
          <w:b/>
          <w:bCs/>
          <w:color w:val="000000"/>
          <w:sz w:val="24"/>
          <w:szCs w:val="24"/>
        </w:rPr>
        <w:t>WASHINGTON, D.C.</w:t>
      </w:r>
      <w:r w:rsidRPr="00195C39">
        <w:rPr>
          <w:rFonts w:ascii="Calibri" w:eastAsia="Calibri" w:hAnsi="Calibri" w:cs="Times New Roman"/>
          <w:bCs/>
          <w:color w:val="000000"/>
          <w:sz w:val="24"/>
          <w:szCs w:val="24"/>
        </w:rPr>
        <w:t xml:space="preserve"> — The Consumer Financial Protection Bureau (Bureau) today issued a Request for Information (RFI) on the Bureau</w:t>
      </w:r>
      <w:r w:rsidR="00923CEF">
        <w:rPr>
          <w:rFonts w:ascii="Calibri" w:eastAsia="Calibri" w:hAnsi="Calibri" w:cs="Times New Roman"/>
          <w:bCs/>
          <w:color w:val="000000"/>
          <w:sz w:val="24"/>
          <w:szCs w:val="24"/>
        </w:rPr>
        <w:t>’</w:t>
      </w:r>
      <w:r w:rsidRPr="00195C39">
        <w:rPr>
          <w:rFonts w:ascii="Calibri" w:eastAsia="Calibri" w:hAnsi="Calibri" w:cs="Times New Roman"/>
          <w:bCs/>
          <w:color w:val="000000"/>
          <w:sz w:val="24"/>
          <w:szCs w:val="24"/>
        </w:rPr>
        <w:t>s adopted regulations and new rulemaking authorities. The Bureau is seeking comments and information from interested parties to assist the Bureau in considering whether it should amend any rules it has issued since its creation or issue rules under new rulemaking authority provided for by the Dodd-Frank Act. This is the eighth in a series of RFIs announced as part of Acting Director Mick Mulvaney</w:t>
      </w:r>
      <w:r w:rsidR="00923CEF">
        <w:rPr>
          <w:rFonts w:ascii="Calibri" w:eastAsia="Calibri" w:hAnsi="Calibri" w:cs="Times New Roman"/>
          <w:bCs/>
          <w:color w:val="000000"/>
          <w:sz w:val="24"/>
          <w:szCs w:val="24"/>
        </w:rPr>
        <w:t>’</w:t>
      </w:r>
      <w:r w:rsidRPr="00195C39">
        <w:rPr>
          <w:rFonts w:ascii="Calibri" w:eastAsia="Calibri" w:hAnsi="Calibri" w:cs="Times New Roman"/>
          <w:bCs/>
          <w:color w:val="000000"/>
          <w:sz w:val="24"/>
          <w:szCs w:val="24"/>
        </w:rPr>
        <w:t>s call for evidence to ensure the Bureau is fulfilling its proper and appropriate functions to best protect consumers. This RFI will provide an opportunity for the public to submit feedback and suggest ways to improve outcomes for both consumers and covered entities. The next RFI in the series will address the Bureau</w:t>
      </w:r>
      <w:r w:rsidR="00923CEF">
        <w:rPr>
          <w:rFonts w:ascii="Calibri" w:eastAsia="Calibri" w:hAnsi="Calibri" w:cs="Times New Roman"/>
          <w:bCs/>
          <w:color w:val="000000"/>
          <w:sz w:val="24"/>
          <w:szCs w:val="24"/>
        </w:rPr>
        <w:t>’</w:t>
      </w:r>
      <w:r w:rsidRPr="00195C39">
        <w:rPr>
          <w:rFonts w:ascii="Calibri" w:eastAsia="Calibri" w:hAnsi="Calibri" w:cs="Times New Roman"/>
          <w:bCs/>
          <w:color w:val="000000"/>
          <w:sz w:val="24"/>
          <w:szCs w:val="24"/>
        </w:rPr>
        <w:t>s inherited regulations and inherited rulemaking authorities, and will be issued next week. </w:t>
      </w:r>
    </w:p>
    <w:p w:rsidR="00195C39" w:rsidRPr="00195C39" w:rsidRDefault="00195C39" w:rsidP="00923CEF">
      <w:pPr>
        <w:spacing w:before="120" w:after="120" w:line="259" w:lineRule="auto"/>
        <w:rPr>
          <w:rFonts w:ascii="Calibri" w:eastAsia="Calibri" w:hAnsi="Calibri" w:cs="Times New Roman"/>
          <w:bCs/>
          <w:color w:val="000000"/>
          <w:sz w:val="24"/>
          <w:szCs w:val="24"/>
        </w:rPr>
      </w:pPr>
      <w:r w:rsidRPr="00195C39">
        <w:rPr>
          <w:rFonts w:ascii="Calibri" w:eastAsia="Calibri" w:hAnsi="Calibri" w:cs="Times New Roman"/>
          <w:b/>
          <w:bCs/>
          <w:color w:val="000000"/>
          <w:sz w:val="24"/>
          <w:szCs w:val="24"/>
        </w:rPr>
        <w:lastRenderedPageBreak/>
        <w:t>The RFI on adopted rules is available at:</w:t>
      </w:r>
      <w:r w:rsidRPr="00195C39">
        <w:rPr>
          <w:rFonts w:ascii="Calibri" w:eastAsia="Calibri" w:hAnsi="Calibri" w:cs="Times New Roman"/>
          <w:bCs/>
          <w:color w:val="000000"/>
          <w:sz w:val="24"/>
          <w:szCs w:val="24"/>
        </w:rPr>
        <w:t xml:space="preserve"> </w:t>
      </w:r>
      <w:hyperlink r:id="rId16" w:history="1">
        <w:r w:rsidRPr="00195C39">
          <w:rPr>
            <w:rStyle w:val="Hyperlink"/>
            <w:rFonts w:ascii="Calibri" w:eastAsia="Calibri" w:hAnsi="Calibri"/>
            <w:sz w:val="24"/>
            <w:szCs w:val="24"/>
          </w:rPr>
          <w:t>https://files.consumerfinance.gov/f/documents/cfpb_rfi_adopted-regulations_032018.pdf</w:t>
        </w:r>
      </w:hyperlink>
    </w:p>
    <w:p w:rsidR="00195C39" w:rsidRPr="00195C39" w:rsidRDefault="00195C39" w:rsidP="00923CEF">
      <w:pPr>
        <w:spacing w:before="120" w:after="120" w:line="259" w:lineRule="auto"/>
        <w:rPr>
          <w:rFonts w:ascii="Calibri" w:eastAsia="Calibri" w:hAnsi="Calibri" w:cs="Times New Roman"/>
          <w:bCs/>
          <w:color w:val="000000"/>
          <w:sz w:val="24"/>
          <w:szCs w:val="24"/>
        </w:rPr>
      </w:pPr>
      <w:r w:rsidRPr="00195C39">
        <w:rPr>
          <w:rFonts w:ascii="Calibri" w:eastAsia="Calibri" w:hAnsi="Calibri" w:cs="Times New Roman"/>
          <w:bCs/>
          <w:color w:val="000000"/>
          <w:sz w:val="24"/>
          <w:szCs w:val="24"/>
        </w:rPr>
        <w:t>The CFPB will begin accepting comments once the RFI is printed in the Federal Register, which is expected to occur on approximately March 19. The RFI will be open for comment for 90 days. </w:t>
      </w:r>
    </w:p>
    <w:p w:rsidR="00195C39" w:rsidRPr="00195C39" w:rsidRDefault="00195C39" w:rsidP="00923CEF">
      <w:pPr>
        <w:spacing w:before="120" w:after="120" w:line="259" w:lineRule="auto"/>
        <w:rPr>
          <w:rFonts w:ascii="Calibri" w:eastAsia="Calibri" w:hAnsi="Calibri" w:cs="Times New Roman"/>
          <w:bCs/>
          <w:color w:val="000000"/>
          <w:sz w:val="24"/>
          <w:szCs w:val="24"/>
        </w:rPr>
      </w:pPr>
      <w:r w:rsidRPr="00195C39">
        <w:rPr>
          <w:rFonts w:ascii="Calibri" w:eastAsia="Calibri" w:hAnsi="Calibri" w:cs="Times New Roman"/>
          <w:bCs/>
          <w:color w:val="000000"/>
          <w:sz w:val="24"/>
          <w:szCs w:val="24"/>
        </w:rPr>
        <w:t>The Bureau anticipates issuing RFIs on the following topics in the coming weeks: </w:t>
      </w:r>
    </w:p>
    <w:p w:rsidR="00195C39" w:rsidRPr="00DF639F" w:rsidRDefault="00195C39" w:rsidP="00923CEF">
      <w:pPr>
        <w:pStyle w:val="ListParagraph"/>
        <w:numPr>
          <w:ilvl w:val="0"/>
          <w:numId w:val="15"/>
        </w:numPr>
        <w:spacing w:before="120" w:line="259" w:lineRule="auto"/>
        <w:ind w:left="720"/>
        <w:contextualSpacing w:val="0"/>
        <w:rPr>
          <w:rFonts w:ascii="Calibri" w:eastAsia="Calibri" w:hAnsi="Calibri"/>
          <w:bCs/>
          <w:color w:val="000000"/>
        </w:rPr>
      </w:pPr>
      <w:r w:rsidRPr="00DF639F">
        <w:rPr>
          <w:rFonts w:ascii="Calibri" w:eastAsia="Calibri" w:hAnsi="Calibri"/>
          <w:bCs/>
          <w:color w:val="000000"/>
        </w:rPr>
        <w:t>Inherited Rules</w:t>
      </w:r>
    </w:p>
    <w:p w:rsidR="00195C39" w:rsidRPr="00DF639F" w:rsidRDefault="00195C39" w:rsidP="00923CEF">
      <w:pPr>
        <w:pStyle w:val="ListParagraph"/>
        <w:numPr>
          <w:ilvl w:val="0"/>
          <w:numId w:val="15"/>
        </w:numPr>
        <w:spacing w:line="259" w:lineRule="auto"/>
        <w:ind w:left="720"/>
        <w:contextualSpacing w:val="0"/>
        <w:rPr>
          <w:rFonts w:ascii="Calibri" w:eastAsia="Calibri" w:hAnsi="Calibri"/>
          <w:bCs/>
          <w:color w:val="000000"/>
        </w:rPr>
      </w:pPr>
      <w:r w:rsidRPr="00DF639F">
        <w:rPr>
          <w:rFonts w:ascii="Calibri" w:eastAsia="Calibri" w:hAnsi="Calibri"/>
          <w:bCs/>
          <w:color w:val="000000"/>
        </w:rPr>
        <w:t>Guidance and Implementation Support</w:t>
      </w:r>
    </w:p>
    <w:p w:rsidR="00195C39" w:rsidRPr="00DF639F" w:rsidRDefault="00195C39" w:rsidP="00923CEF">
      <w:pPr>
        <w:pStyle w:val="ListParagraph"/>
        <w:numPr>
          <w:ilvl w:val="0"/>
          <w:numId w:val="15"/>
        </w:numPr>
        <w:spacing w:line="259" w:lineRule="auto"/>
        <w:ind w:left="720"/>
        <w:contextualSpacing w:val="0"/>
        <w:rPr>
          <w:rFonts w:ascii="Calibri" w:eastAsia="Calibri" w:hAnsi="Calibri"/>
          <w:bCs/>
          <w:color w:val="000000"/>
        </w:rPr>
      </w:pPr>
      <w:r w:rsidRPr="00DF639F">
        <w:rPr>
          <w:rFonts w:ascii="Calibri" w:eastAsia="Calibri" w:hAnsi="Calibri"/>
          <w:bCs/>
          <w:color w:val="000000"/>
        </w:rPr>
        <w:t>Consumer Education</w:t>
      </w:r>
    </w:p>
    <w:p w:rsidR="00195C39" w:rsidRPr="00DF639F" w:rsidRDefault="00195C39" w:rsidP="00923CEF">
      <w:pPr>
        <w:pStyle w:val="ListParagraph"/>
        <w:numPr>
          <w:ilvl w:val="0"/>
          <w:numId w:val="15"/>
        </w:numPr>
        <w:spacing w:after="120" w:line="259" w:lineRule="auto"/>
        <w:ind w:left="720"/>
        <w:contextualSpacing w:val="0"/>
        <w:rPr>
          <w:rFonts w:ascii="Calibri" w:eastAsia="Calibri" w:hAnsi="Calibri"/>
          <w:bCs/>
          <w:color w:val="000000"/>
        </w:rPr>
      </w:pPr>
      <w:r w:rsidRPr="00DF639F">
        <w:rPr>
          <w:rFonts w:ascii="Calibri" w:eastAsia="Calibri" w:hAnsi="Calibri"/>
          <w:bCs/>
          <w:color w:val="000000"/>
        </w:rPr>
        <w:t>Consumer Inquiries </w:t>
      </w:r>
    </w:p>
    <w:p w:rsidR="00195C39" w:rsidRPr="00195C39" w:rsidRDefault="00195C39" w:rsidP="00923CEF">
      <w:pPr>
        <w:spacing w:before="120" w:after="120" w:line="259" w:lineRule="auto"/>
        <w:rPr>
          <w:rFonts w:ascii="Calibri" w:eastAsia="Calibri" w:hAnsi="Calibri" w:cs="Times New Roman"/>
          <w:bCs/>
          <w:color w:val="000000"/>
          <w:sz w:val="24"/>
          <w:szCs w:val="24"/>
        </w:rPr>
      </w:pPr>
      <w:r w:rsidRPr="00195C39">
        <w:rPr>
          <w:rFonts w:ascii="Calibri" w:eastAsia="Calibri" w:hAnsi="Calibri" w:cs="Times New Roman"/>
          <w:b/>
          <w:bCs/>
          <w:color w:val="000000"/>
          <w:sz w:val="24"/>
          <w:szCs w:val="24"/>
        </w:rPr>
        <w:t xml:space="preserve">More information about the call for evidence is available at: </w:t>
      </w:r>
      <w:hyperlink r:id="rId17" w:history="1">
        <w:r w:rsidRPr="00195C39">
          <w:rPr>
            <w:rStyle w:val="Hyperlink"/>
            <w:rFonts w:ascii="Calibri" w:eastAsia="Calibri" w:hAnsi="Calibri"/>
            <w:sz w:val="24"/>
            <w:szCs w:val="24"/>
          </w:rPr>
          <w:t>http://www.consumerfinance.gov/policy-compliance/notice-opportunities-comment/open-notices/call-for-evidence/</w:t>
        </w:r>
      </w:hyperlink>
      <w:r w:rsidRPr="00195C39">
        <w:rPr>
          <w:rFonts w:ascii="Calibri" w:eastAsia="Calibri" w:hAnsi="Calibri" w:cs="Times New Roman"/>
          <w:b/>
          <w:bCs/>
          <w:color w:val="000000"/>
          <w:sz w:val="24"/>
          <w:szCs w:val="24"/>
        </w:rPr>
        <w:t xml:space="preserve"> </w:t>
      </w:r>
    </w:p>
    <w:p w:rsidR="0071614F" w:rsidRPr="000C7C83" w:rsidRDefault="0071614F"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18" w:history="1">
        <w:r w:rsidR="002768A8" w:rsidRPr="002768A8">
          <w:rPr>
            <w:rStyle w:val="Hyperlink"/>
            <w:rFonts w:ascii="Calibri" w:eastAsia="Calibri" w:hAnsi="Calibri"/>
            <w:sz w:val="24"/>
            <w:szCs w:val="24"/>
          </w:rPr>
          <w:t>link</w:t>
        </w:r>
      </w:hyperlink>
      <w:r w:rsidR="002768A8">
        <w:rPr>
          <w:rFonts w:ascii="Calibri" w:eastAsia="Calibri" w:hAnsi="Calibri" w:cs="Times New Roman"/>
          <w:b/>
          <w:bCs/>
          <w:color w:val="000000"/>
          <w:sz w:val="24"/>
          <w:szCs w:val="24"/>
        </w:rPr>
        <w:t xml:space="preserve">. </w:t>
      </w:r>
    </w:p>
    <w:p w:rsidR="0059023F" w:rsidRPr="0059023F" w:rsidRDefault="0059023F" w:rsidP="00923CEF">
      <w:pPr>
        <w:spacing w:before="120" w:after="120" w:line="259" w:lineRule="auto"/>
        <w:rPr>
          <w:rFonts w:ascii="Calibri" w:eastAsia="Calibri" w:hAnsi="Calibri" w:cs="Times New Roman"/>
          <w:b/>
          <w:bCs/>
          <w:i/>
          <w:color w:val="002060"/>
          <w:sz w:val="24"/>
          <w:szCs w:val="24"/>
        </w:rPr>
      </w:pPr>
      <w:r w:rsidRPr="0059023F">
        <w:rPr>
          <w:rFonts w:ascii="Calibri" w:eastAsia="Calibri" w:hAnsi="Calibri" w:cs="Times New Roman"/>
          <w:b/>
          <w:bCs/>
          <w:i/>
          <w:color w:val="002060"/>
          <w:sz w:val="24"/>
          <w:szCs w:val="24"/>
        </w:rPr>
        <w:t>Comment: The adopted regulations include the ones transferred to the CFPB by the Dodd Frank Act and the new ones required by that act.  Large rules include TRID, mortgage origination (Regulation Z/QM) and remittance transfers, among others.</w:t>
      </w:r>
    </w:p>
    <w:p w:rsidR="00EF5151" w:rsidRDefault="00EF5151" w:rsidP="00923CEF">
      <w:pPr>
        <w:spacing w:before="120" w:after="120" w:line="259" w:lineRule="auto"/>
        <w:rPr>
          <w:rFonts w:ascii="Calibri" w:eastAsia="Calibri" w:hAnsi="Calibri" w:cs="Times New Roman"/>
          <w:b/>
          <w:i/>
          <w:color w:val="002060"/>
          <w:sz w:val="24"/>
          <w:szCs w:val="24"/>
        </w:rPr>
      </w:pPr>
    </w:p>
    <w:p w:rsidR="007F23E8" w:rsidRPr="000C7C83" w:rsidRDefault="007F23E8" w:rsidP="00923CEF">
      <w:pPr>
        <w:spacing w:before="120" w:after="120" w:line="259" w:lineRule="auto"/>
        <w:rPr>
          <w:rFonts w:ascii="Calibri" w:eastAsia="Calibri" w:hAnsi="Calibri" w:cs="Times New Roman"/>
          <w:b/>
          <w:bCs/>
          <w:i/>
          <w:color w:val="000000" w:themeColor="text1"/>
          <w:sz w:val="24"/>
          <w:szCs w:val="24"/>
        </w:rPr>
      </w:pPr>
      <w:r w:rsidRPr="007F23E8">
        <w:rPr>
          <w:rFonts w:ascii="Calibri" w:eastAsia="Calibri" w:hAnsi="Calibri" w:cs="Times New Roman"/>
          <w:b/>
          <w:bCs/>
          <w:i/>
          <w:color w:val="000000" w:themeColor="text1"/>
          <w:sz w:val="24"/>
          <w:szCs w:val="24"/>
        </w:rPr>
        <w:t xml:space="preserve">Bureau Updates Prepaid Small Entity Compliance Guide and Guide to Preparing the Short Form Disclosure for Prepaid </w:t>
      </w:r>
      <w:r>
        <w:rPr>
          <w:rFonts w:ascii="Calibri" w:eastAsia="Calibri" w:hAnsi="Calibri" w:cs="Times New Roman"/>
          <w:b/>
          <w:bCs/>
          <w:i/>
          <w:color w:val="000000" w:themeColor="text1"/>
          <w:sz w:val="24"/>
          <w:szCs w:val="24"/>
        </w:rPr>
        <w:t xml:space="preserve">Accounts </w:t>
      </w:r>
      <w:r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03.13.2018</w:t>
      </w:r>
      <w:r w:rsidRPr="000C7C83">
        <w:rPr>
          <w:rFonts w:ascii="Calibri" w:eastAsia="Calibri" w:hAnsi="Calibri" w:cs="Times New Roman"/>
          <w:b/>
          <w:bCs/>
          <w:i/>
          <w:color w:val="000000" w:themeColor="text1"/>
          <w:sz w:val="24"/>
          <w:szCs w:val="24"/>
        </w:rPr>
        <w:t>)</w:t>
      </w:r>
      <w:r w:rsidR="00425826">
        <w:rPr>
          <w:rFonts w:ascii="Calibri" w:eastAsia="Calibri" w:hAnsi="Calibri" w:cs="Times New Roman"/>
          <w:b/>
          <w:bCs/>
          <w:i/>
          <w:color w:val="000000" w:themeColor="text1"/>
          <w:sz w:val="24"/>
          <w:szCs w:val="24"/>
        </w:rPr>
        <w:t xml:space="preserve"> </w:t>
      </w:r>
      <w:r w:rsidR="00425826">
        <w:rPr>
          <w:rFonts w:ascii="Calibri" w:eastAsia="Calibri" w:hAnsi="Calibri" w:cs="Times New Roman"/>
          <w:b/>
          <w:bCs/>
          <w:i/>
          <w:noProof/>
          <w:color w:val="000000" w:themeColor="text1"/>
          <w:sz w:val="24"/>
          <w:szCs w:val="24"/>
        </w:rPr>
        <w:drawing>
          <wp:inline distT="0" distB="0" distL="0" distR="0" wp14:anchorId="4ED43423">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A60B89" w:rsidRDefault="00A60B89" w:rsidP="00923CEF">
      <w:pPr>
        <w:spacing w:before="120" w:after="120" w:line="259" w:lineRule="auto"/>
        <w:rPr>
          <w:rFonts w:ascii="Calibri" w:eastAsia="Calibri" w:hAnsi="Calibri" w:cs="Times New Roman"/>
          <w:b/>
          <w:bCs/>
          <w:color w:val="000000"/>
          <w:sz w:val="24"/>
          <w:szCs w:val="24"/>
        </w:rPr>
      </w:pPr>
      <w:r>
        <w:rPr>
          <w:rFonts w:ascii="Calibri" w:eastAsia="Calibri" w:hAnsi="Calibri" w:cs="Times New Roman"/>
          <w:bCs/>
          <w:color w:val="000000"/>
          <w:sz w:val="24"/>
          <w:szCs w:val="24"/>
        </w:rPr>
        <w:t>T</w:t>
      </w:r>
      <w:r w:rsidRPr="00A60B89">
        <w:rPr>
          <w:rFonts w:ascii="Calibri" w:eastAsia="Calibri" w:hAnsi="Calibri" w:cs="Times New Roman"/>
          <w:bCs/>
          <w:color w:val="000000"/>
          <w:sz w:val="24"/>
          <w:szCs w:val="24"/>
        </w:rPr>
        <w:t>he CFPB released version 3.0 of its prepaid rule</w:t>
      </w:r>
      <w:r>
        <w:rPr>
          <w:rFonts w:ascii="Calibri" w:eastAsia="Calibri" w:hAnsi="Calibri" w:cs="Times New Roman"/>
          <w:bCs/>
          <w:color w:val="000000"/>
          <w:sz w:val="24"/>
          <w:szCs w:val="24"/>
        </w:rPr>
        <w:t xml:space="preserve"> </w:t>
      </w:r>
      <w:hyperlink r:id="rId20" w:history="1">
        <w:r w:rsidRPr="00A60B89">
          <w:rPr>
            <w:rStyle w:val="Hyperlink"/>
            <w:rFonts w:ascii="Calibri" w:eastAsia="Calibri" w:hAnsi="Calibri"/>
            <w:bCs/>
            <w:i/>
            <w:iCs/>
            <w:sz w:val="24"/>
            <w:szCs w:val="24"/>
          </w:rPr>
          <w:t>Small Entity Compliance Guide</w:t>
        </w:r>
      </w:hyperlink>
      <w:r>
        <w:rPr>
          <w:rFonts w:ascii="Calibri" w:eastAsia="Calibri" w:hAnsi="Calibri" w:cs="Times New Roman"/>
          <w:bCs/>
          <w:color w:val="000000"/>
          <w:sz w:val="24"/>
          <w:szCs w:val="24"/>
        </w:rPr>
        <w:t xml:space="preserve"> </w:t>
      </w:r>
      <w:r w:rsidRPr="00A60B89">
        <w:rPr>
          <w:rFonts w:ascii="Calibri" w:eastAsia="Calibri" w:hAnsi="Calibri" w:cs="Times New Roman"/>
          <w:bCs/>
          <w:color w:val="000000"/>
          <w:sz w:val="24"/>
          <w:szCs w:val="24"/>
        </w:rPr>
        <w:t>and the</w:t>
      </w:r>
      <w:r>
        <w:rPr>
          <w:rFonts w:ascii="Calibri" w:eastAsia="Calibri" w:hAnsi="Calibri" w:cs="Times New Roman"/>
          <w:bCs/>
          <w:color w:val="000000"/>
          <w:sz w:val="24"/>
          <w:szCs w:val="24"/>
        </w:rPr>
        <w:t xml:space="preserve"> </w:t>
      </w:r>
      <w:hyperlink r:id="rId21" w:history="1">
        <w:r w:rsidRPr="00A60B89">
          <w:rPr>
            <w:rStyle w:val="Hyperlink"/>
            <w:rFonts w:ascii="Calibri" w:eastAsia="Calibri" w:hAnsi="Calibri"/>
            <w:bCs/>
            <w:sz w:val="24"/>
            <w:szCs w:val="24"/>
          </w:rPr>
          <w:t>guide</w:t>
        </w:r>
      </w:hyperlink>
      <w:r>
        <w:rPr>
          <w:rFonts w:ascii="Calibri" w:eastAsia="Calibri" w:hAnsi="Calibri" w:cs="Times New Roman"/>
          <w:bCs/>
          <w:color w:val="000000"/>
          <w:sz w:val="24"/>
          <w:szCs w:val="24"/>
        </w:rPr>
        <w:t xml:space="preserve"> </w:t>
      </w:r>
      <w:r w:rsidRPr="00A60B89">
        <w:rPr>
          <w:rFonts w:ascii="Calibri" w:eastAsia="Calibri" w:hAnsi="Calibri" w:cs="Times New Roman"/>
          <w:bCs/>
          <w:color w:val="000000"/>
          <w:sz w:val="24"/>
          <w:szCs w:val="24"/>
        </w:rPr>
        <w:t>to</w:t>
      </w:r>
      <w:r>
        <w:rPr>
          <w:rFonts w:ascii="Calibri" w:eastAsia="Calibri" w:hAnsi="Calibri" w:cs="Times New Roman"/>
          <w:bCs/>
          <w:color w:val="000000"/>
          <w:sz w:val="24"/>
          <w:szCs w:val="24"/>
        </w:rPr>
        <w:t xml:space="preserve"> </w:t>
      </w:r>
      <w:hyperlink r:id="rId22" w:history="1">
        <w:r w:rsidRPr="00A60B89">
          <w:rPr>
            <w:rStyle w:val="Hyperlink"/>
            <w:rFonts w:ascii="Calibri" w:eastAsia="Calibri" w:hAnsi="Calibri"/>
            <w:bCs/>
            <w:i/>
            <w:iCs/>
            <w:sz w:val="24"/>
            <w:szCs w:val="24"/>
          </w:rPr>
          <w:t>Preparing Short Form Disclosure for Prepaid Accounts</w:t>
        </w:r>
      </w:hyperlink>
      <w:r w:rsidRPr="00A60B89">
        <w:rPr>
          <w:rFonts w:ascii="Calibri" w:eastAsia="Calibri" w:hAnsi="Calibri" w:cs="Times New Roman"/>
          <w:bCs/>
          <w:color w:val="000000"/>
          <w:sz w:val="24"/>
          <w:szCs w:val="24"/>
        </w:rPr>
        <w:t>. The updated guides reflect the 2018 final rule governing prepaid accounts (Rule). </w:t>
      </w:r>
      <w:r w:rsidRPr="00A60B89">
        <w:rPr>
          <w:rFonts w:ascii="Calibri" w:eastAsia="Calibri" w:hAnsi="Calibri" w:cs="Times New Roman"/>
          <w:b/>
          <w:bCs/>
          <w:color w:val="000000"/>
          <w:sz w:val="24"/>
          <w:szCs w:val="24"/>
        </w:rPr>
        <w:t xml:space="preserve"> </w:t>
      </w:r>
    </w:p>
    <w:p w:rsidR="007F23E8" w:rsidRPr="000C7C83" w:rsidRDefault="007F23E8"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23" w:history="1">
        <w:r w:rsidRPr="00EF5151">
          <w:rPr>
            <w:rStyle w:val="Hyperlink"/>
            <w:rFonts w:ascii="Calibri" w:eastAsia="Calibri" w:hAnsi="Calibri"/>
            <w:sz w:val="24"/>
            <w:szCs w:val="24"/>
          </w:rPr>
          <w:t>link</w:t>
        </w:r>
      </w:hyperlink>
      <w:r>
        <w:rPr>
          <w:rFonts w:ascii="Calibri" w:eastAsia="Calibri" w:hAnsi="Calibri" w:cs="Times New Roman"/>
          <w:b/>
          <w:bCs/>
          <w:color w:val="000000"/>
          <w:sz w:val="24"/>
          <w:szCs w:val="24"/>
        </w:rPr>
        <w:t xml:space="preserve">. </w:t>
      </w:r>
    </w:p>
    <w:p w:rsidR="0059023F" w:rsidRPr="0059023F" w:rsidRDefault="0059023F" w:rsidP="00923CEF">
      <w:pPr>
        <w:spacing w:before="120" w:after="120" w:line="259" w:lineRule="auto"/>
        <w:rPr>
          <w:rFonts w:ascii="Calibri" w:eastAsia="Calibri" w:hAnsi="Calibri" w:cs="Times New Roman"/>
          <w:b/>
          <w:bCs/>
          <w:i/>
          <w:color w:val="002060"/>
          <w:sz w:val="24"/>
          <w:szCs w:val="24"/>
        </w:rPr>
      </w:pPr>
      <w:r w:rsidRPr="0059023F">
        <w:rPr>
          <w:rFonts w:ascii="Calibri" w:eastAsia="Calibri" w:hAnsi="Calibri" w:cs="Times New Roman"/>
          <w:b/>
          <w:bCs/>
          <w:i/>
          <w:color w:val="002060"/>
          <w:sz w:val="24"/>
          <w:szCs w:val="24"/>
        </w:rPr>
        <w:t>Comment: The rule applies to payroll cards as well as other prepaid cards.</w:t>
      </w:r>
    </w:p>
    <w:p w:rsidR="007F23E8" w:rsidRDefault="007F23E8" w:rsidP="00923CEF">
      <w:pPr>
        <w:spacing w:before="120" w:after="120" w:line="259" w:lineRule="auto"/>
        <w:rPr>
          <w:rFonts w:ascii="Calibri" w:eastAsia="Calibri" w:hAnsi="Calibri" w:cs="Times New Roman"/>
          <w:b/>
          <w:bCs/>
          <w:i/>
          <w:color w:val="000000" w:themeColor="text1"/>
          <w:sz w:val="24"/>
          <w:szCs w:val="24"/>
        </w:rPr>
      </w:pPr>
    </w:p>
    <w:p w:rsidR="00EF5151" w:rsidRPr="000C7C83" w:rsidRDefault="00EF5151" w:rsidP="00923CEF">
      <w:pPr>
        <w:spacing w:before="120" w:after="120" w:line="259" w:lineRule="auto"/>
        <w:rPr>
          <w:rFonts w:ascii="Calibri" w:eastAsia="Calibri" w:hAnsi="Calibri" w:cs="Times New Roman"/>
          <w:b/>
          <w:bCs/>
          <w:i/>
          <w:color w:val="000000" w:themeColor="text1"/>
          <w:sz w:val="24"/>
          <w:szCs w:val="24"/>
        </w:rPr>
      </w:pPr>
      <w:r w:rsidRPr="00EF5151">
        <w:rPr>
          <w:rFonts w:ascii="Calibri" w:eastAsia="Calibri" w:hAnsi="Calibri" w:cs="Times New Roman"/>
          <w:b/>
          <w:bCs/>
          <w:i/>
          <w:color w:val="000000" w:themeColor="text1"/>
          <w:sz w:val="24"/>
          <w:szCs w:val="24"/>
        </w:rPr>
        <w:t>CFPB Issues Amendments to the 2016 Mortgage Servicing Final Rule</w:t>
      </w:r>
      <w:r w:rsidRPr="000C7C83">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03.08.2018</w:t>
      </w:r>
      <w:r w:rsidRPr="000C7C83">
        <w:rPr>
          <w:rFonts w:ascii="Calibri" w:eastAsia="Calibri" w:hAnsi="Calibri" w:cs="Times New Roman"/>
          <w:b/>
          <w:bCs/>
          <w:i/>
          <w:color w:val="000000" w:themeColor="text1"/>
          <w:sz w:val="24"/>
          <w:szCs w:val="24"/>
        </w:rPr>
        <w:t>)</w:t>
      </w:r>
      <w:r w:rsidR="00425826">
        <w:rPr>
          <w:rFonts w:ascii="Calibri" w:eastAsia="Calibri" w:hAnsi="Calibri" w:cs="Times New Roman"/>
          <w:b/>
          <w:bCs/>
          <w:i/>
          <w:color w:val="000000" w:themeColor="text1"/>
          <w:sz w:val="24"/>
          <w:szCs w:val="24"/>
        </w:rPr>
        <w:t xml:space="preserve"> </w:t>
      </w:r>
      <w:r w:rsidR="00425826">
        <w:rPr>
          <w:rFonts w:ascii="Calibri" w:eastAsia="Calibri" w:hAnsi="Calibri" w:cs="Times New Roman"/>
          <w:b/>
          <w:bCs/>
          <w:i/>
          <w:noProof/>
          <w:color w:val="000000" w:themeColor="text1"/>
          <w:sz w:val="24"/>
          <w:szCs w:val="24"/>
        </w:rPr>
        <w:drawing>
          <wp:inline distT="0" distB="0" distL="0" distR="0" wp14:anchorId="227ECDAB">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EF5151" w:rsidRPr="00EF5151" w:rsidRDefault="00EF5151" w:rsidP="00923CEF">
      <w:pPr>
        <w:spacing w:before="120" w:after="120" w:line="259" w:lineRule="auto"/>
        <w:rPr>
          <w:rFonts w:ascii="Calibri" w:eastAsia="Calibri" w:hAnsi="Calibri" w:cs="Times New Roman"/>
          <w:bCs/>
          <w:color w:val="000000"/>
          <w:sz w:val="24"/>
          <w:szCs w:val="24"/>
        </w:rPr>
      </w:pPr>
      <w:r w:rsidRPr="00EF5151">
        <w:rPr>
          <w:rFonts w:ascii="Calibri" w:eastAsia="Calibri" w:hAnsi="Calibri" w:cs="Times New Roman"/>
          <w:bCs/>
          <w:color w:val="000000"/>
          <w:sz w:val="24"/>
          <w:szCs w:val="24"/>
        </w:rPr>
        <w:t>The Bureau has issued a Final Rule amending the 2016 Mortgage Servicing Rule.  This final rule replaces the single-billing-cycle exemption for periodic statements and coupon books with a single-statement exemption when servicers transition to providing modified or unmodified periodic statements and coupon books to consumers entering or exiting bankruptcy. This final rule provides a single-statement exemption for the next periodic statement or coupon book that a servicer would otherwise have to provide, regardless of when in the billing cycle the triggering event occurs.</w:t>
      </w:r>
    </w:p>
    <w:p w:rsidR="00EF5151" w:rsidRPr="00EF5151" w:rsidRDefault="00EF5151" w:rsidP="00923CEF">
      <w:pPr>
        <w:spacing w:before="120" w:after="120" w:line="259" w:lineRule="auto"/>
        <w:rPr>
          <w:rFonts w:ascii="Calibri" w:eastAsia="Calibri" w:hAnsi="Calibri" w:cs="Times New Roman"/>
          <w:bCs/>
          <w:color w:val="000000"/>
          <w:sz w:val="24"/>
          <w:szCs w:val="24"/>
        </w:rPr>
      </w:pPr>
      <w:r w:rsidRPr="00EF5151">
        <w:rPr>
          <w:rFonts w:ascii="Calibri" w:eastAsia="Calibri" w:hAnsi="Calibri" w:cs="Times New Roman"/>
          <w:bCs/>
          <w:color w:val="000000"/>
          <w:sz w:val="24"/>
          <w:szCs w:val="24"/>
        </w:rPr>
        <w:t>You can access this final rule on our website at: </w:t>
      </w:r>
      <w:hyperlink r:id="rId24" w:history="1">
        <w:r w:rsidRPr="00EF5151">
          <w:rPr>
            <w:rStyle w:val="Hyperlink"/>
            <w:rFonts w:ascii="Calibri" w:eastAsia="Calibri" w:hAnsi="Calibri"/>
            <w:sz w:val="24"/>
            <w:szCs w:val="24"/>
          </w:rPr>
          <w:t>https://www.consumerfinance.gov/policy-compliance/guidance/implementation-guidance/mortserv/</w:t>
        </w:r>
      </w:hyperlink>
    </w:p>
    <w:p w:rsidR="00EF5151" w:rsidRPr="000C7C83" w:rsidRDefault="00EF5151"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25" w:history="1">
        <w:r w:rsidRPr="00EF5151">
          <w:rPr>
            <w:rStyle w:val="Hyperlink"/>
            <w:rFonts w:ascii="Calibri" w:eastAsia="Calibri" w:hAnsi="Calibri"/>
            <w:sz w:val="24"/>
            <w:szCs w:val="24"/>
          </w:rPr>
          <w:t>link</w:t>
        </w:r>
      </w:hyperlink>
      <w:r>
        <w:rPr>
          <w:rFonts w:ascii="Calibri" w:eastAsia="Calibri" w:hAnsi="Calibri" w:cs="Times New Roman"/>
          <w:b/>
          <w:bCs/>
          <w:color w:val="000000"/>
          <w:sz w:val="24"/>
          <w:szCs w:val="24"/>
        </w:rPr>
        <w:t xml:space="preserve">. </w:t>
      </w:r>
    </w:p>
    <w:p w:rsidR="00EF5151" w:rsidRDefault="00EF5151" w:rsidP="00923CEF">
      <w:pPr>
        <w:spacing w:before="120" w:after="120" w:line="259" w:lineRule="auto"/>
        <w:rPr>
          <w:rFonts w:ascii="Calibri" w:eastAsia="Calibri" w:hAnsi="Calibri" w:cs="Times New Roman"/>
          <w:b/>
          <w:i/>
          <w:color w:val="002060"/>
          <w:sz w:val="24"/>
          <w:szCs w:val="24"/>
        </w:rPr>
      </w:pPr>
      <w:proofErr w:type="gramStart"/>
      <w:r w:rsidRPr="00323369">
        <w:rPr>
          <w:rFonts w:ascii="Calibri" w:eastAsia="Calibri" w:hAnsi="Calibri" w:cs="Times New Roman"/>
          <w:b/>
          <w:bCs/>
          <w:i/>
          <w:color w:val="002060"/>
          <w:sz w:val="24"/>
          <w:szCs w:val="24"/>
        </w:rPr>
        <w:t>Comment:</w:t>
      </w:r>
      <w:r w:rsidR="000600CA" w:rsidRPr="000600CA">
        <w:rPr>
          <w:rFonts w:ascii="Calibri" w:eastAsia="Calibri" w:hAnsi="Calibri" w:cs="Times New Roman"/>
          <w:b/>
          <w:i/>
          <w:color w:val="002060"/>
          <w:sz w:val="24"/>
          <w:szCs w:val="24"/>
        </w:rPr>
        <w:t>.</w:t>
      </w:r>
      <w:proofErr w:type="gramEnd"/>
      <w:r w:rsidR="001166B9">
        <w:rPr>
          <w:rFonts w:ascii="Calibri" w:eastAsia="Calibri" w:hAnsi="Calibri" w:cs="Times New Roman"/>
          <w:b/>
          <w:i/>
          <w:color w:val="002060"/>
          <w:sz w:val="24"/>
          <w:szCs w:val="24"/>
        </w:rPr>
        <w:t xml:space="preserve"> </w:t>
      </w:r>
      <w:r w:rsidR="001166B9" w:rsidRPr="001166B9">
        <w:rPr>
          <w:rFonts w:ascii="Calibri" w:eastAsia="Calibri" w:hAnsi="Calibri" w:cs="Times New Roman"/>
          <w:b/>
          <w:i/>
          <w:color w:val="002060"/>
          <w:sz w:val="24"/>
          <w:szCs w:val="24"/>
        </w:rPr>
        <w:t>The 2016 mortgage servicing rule requires that servicers send modified periodic statements or coupon books to certain consumers in bankruptcy beginning</w:t>
      </w:r>
      <w:r w:rsidR="001166B9">
        <w:rPr>
          <w:rFonts w:ascii="Calibri" w:eastAsia="Calibri" w:hAnsi="Calibri" w:cs="Times New Roman"/>
          <w:b/>
          <w:i/>
          <w:color w:val="002060"/>
          <w:sz w:val="24"/>
          <w:szCs w:val="24"/>
        </w:rPr>
        <w:t xml:space="preserve"> </w:t>
      </w:r>
      <w:r w:rsidR="001166B9" w:rsidRPr="001166B9">
        <w:rPr>
          <w:rFonts w:ascii="Calibri" w:eastAsia="Calibri" w:hAnsi="Calibri" w:cs="Times New Roman"/>
          <w:b/>
          <w:bCs/>
          <w:i/>
          <w:color w:val="002060"/>
          <w:sz w:val="24"/>
          <w:szCs w:val="24"/>
        </w:rPr>
        <w:t>April 19, 2018</w:t>
      </w:r>
      <w:r w:rsidR="001166B9" w:rsidRPr="001166B9">
        <w:rPr>
          <w:rFonts w:ascii="Calibri" w:eastAsia="Calibri" w:hAnsi="Calibri" w:cs="Times New Roman"/>
          <w:b/>
          <w:i/>
          <w:color w:val="002060"/>
          <w:sz w:val="24"/>
          <w:szCs w:val="24"/>
        </w:rPr>
        <w:t>.</w:t>
      </w:r>
      <w:r w:rsidR="00460842" w:rsidRPr="00460842">
        <w:rPr>
          <w:rFonts w:ascii="Calibri" w:eastAsia="Calibri" w:hAnsi="Calibri" w:cs="Times New Roman"/>
          <w:b/>
          <w:i/>
          <w:color w:val="002060"/>
          <w:sz w:val="24"/>
          <w:szCs w:val="24"/>
        </w:rPr>
        <w:t xml:space="preserve"> These amendments to </w:t>
      </w:r>
      <w:r w:rsidR="00460842" w:rsidRPr="00460842">
        <w:rPr>
          <w:rFonts w:ascii="Calibri" w:eastAsia="Calibri" w:hAnsi="Calibri" w:cs="Times New Roman"/>
          <w:b/>
          <w:i/>
          <w:color w:val="002060"/>
          <w:sz w:val="24"/>
          <w:szCs w:val="24"/>
        </w:rPr>
        <w:lastRenderedPageBreak/>
        <w:t>Regulation Z revise the timing requirements for servicers transitioning between modified or unmodified periodic statements and coupon books when consumers enter or exit bankruptcy</w:t>
      </w:r>
    </w:p>
    <w:p w:rsidR="008D17E2" w:rsidRPr="0071614F" w:rsidRDefault="008D17E2" w:rsidP="00923CEF">
      <w:pPr>
        <w:spacing w:before="120" w:after="120" w:line="259" w:lineRule="auto"/>
        <w:rPr>
          <w:rFonts w:ascii="Calibri" w:eastAsia="Calibri" w:hAnsi="Calibri" w:cs="Times New Roman"/>
          <w:b/>
          <w:i/>
          <w:color w:val="002060"/>
          <w:sz w:val="24"/>
          <w:szCs w:val="24"/>
        </w:rPr>
      </w:pPr>
    </w:p>
    <w:p w:rsidR="00B11593" w:rsidRPr="000C7C83" w:rsidRDefault="008D17E2" w:rsidP="00923CEF">
      <w:pPr>
        <w:spacing w:before="120" w:after="120" w:line="259" w:lineRule="auto"/>
        <w:rPr>
          <w:rFonts w:ascii="Calibri" w:eastAsia="Calibri" w:hAnsi="Calibri" w:cs="Times New Roman"/>
          <w:b/>
          <w:bCs/>
          <w:i/>
          <w:color w:val="000000" w:themeColor="text1"/>
          <w:sz w:val="24"/>
          <w:szCs w:val="24"/>
        </w:rPr>
      </w:pPr>
      <w:r w:rsidRPr="008D17E2">
        <w:rPr>
          <w:rFonts w:ascii="Calibri" w:eastAsia="Calibri" w:hAnsi="Calibri" w:cs="Times New Roman"/>
          <w:b/>
          <w:bCs/>
          <w:i/>
          <w:color w:val="000000" w:themeColor="text1"/>
          <w:sz w:val="24"/>
          <w:szCs w:val="24"/>
        </w:rPr>
        <w:t xml:space="preserve">Bureau </w:t>
      </w:r>
      <w:r w:rsidR="007F23E8" w:rsidRPr="008D17E2">
        <w:rPr>
          <w:rFonts w:ascii="Calibri" w:eastAsia="Calibri" w:hAnsi="Calibri" w:cs="Times New Roman"/>
          <w:b/>
          <w:bCs/>
          <w:i/>
          <w:color w:val="000000" w:themeColor="text1"/>
          <w:sz w:val="24"/>
          <w:szCs w:val="24"/>
        </w:rPr>
        <w:t xml:space="preserve">Publishes 2018 Lists </w:t>
      </w:r>
      <w:r w:rsidR="007F23E8">
        <w:rPr>
          <w:rFonts w:ascii="Calibri" w:eastAsia="Calibri" w:hAnsi="Calibri" w:cs="Times New Roman"/>
          <w:b/>
          <w:bCs/>
          <w:i/>
          <w:color w:val="000000" w:themeColor="text1"/>
          <w:sz w:val="24"/>
          <w:szCs w:val="24"/>
        </w:rPr>
        <w:t>o</w:t>
      </w:r>
      <w:r w:rsidR="007F23E8" w:rsidRPr="008D17E2">
        <w:rPr>
          <w:rFonts w:ascii="Calibri" w:eastAsia="Calibri" w:hAnsi="Calibri" w:cs="Times New Roman"/>
          <w:b/>
          <w:bCs/>
          <w:i/>
          <w:color w:val="000000" w:themeColor="text1"/>
          <w:sz w:val="24"/>
          <w:szCs w:val="24"/>
        </w:rPr>
        <w:t xml:space="preserve">f Rural </w:t>
      </w:r>
      <w:r w:rsidR="007F23E8">
        <w:rPr>
          <w:rFonts w:ascii="Calibri" w:eastAsia="Calibri" w:hAnsi="Calibri" w:cs="Times New Roman"/>
          <w:b/>
          <w:bCs/>
          <w:i/>
          <w:color w:val="000000" w:themeColor="text1"/>
          <w:sz w:val="24"/>
          <w:szCs w:val="24"/>
        </w:rPr>
        <w:t>a</w:t>
      </w:r>
      <w:r w:rsidR="007F23E8" w:rsidRPr="008D17E2">
        <w:rPr>
          <w:rFonts w:ascii="Calibri" w:eastAsia="Calibri" w:hAnsi="Calibri" w:cs="Times New Roman"/>
          <w:b/>
          <w:bCs/>
          <w:i/>
          <w:color w:val="000000" w:themeColor="text1"/>
          <w:sz w:val="24"/>
          <w:szCs w:val="24"/>
        </w:rPr>
        <w:t>nd Underserved Counties</w:t>
      </w:r>
      <w:r w:rsidR="007F23E8" w:rsidRPr="000C7C83">
        <w:rPr>
          <w:rFonts w:ascii="Calibri" w:eastAsia="Calibri" w:hAnsi="Calibri" w:cs="Times New Roman"/>
          <w:b/>
          <w:bCs/>
          <w:i/>
          <w:color w:val="000000" w:themeColor="text1"/>
          <w:sz w:val="24"/>
          <w:szCs w:val="24"/>
        </w:rPr>
        <w:t xml:space="preserve"> </w:t>
      </w:r>
      <w:r w:rsidR="00B11593"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03.06.2018</w:t>
      </w:r>
      <w:r w:rsidR="00B11593" w:rsidRPr="000C7C83">
        <w:rPr>
          <w:rFonts w:ascii="Calibri" w:eastAsia="Calibri" w:hAnsi="Calibri" w:cs="Times New Roman"/>
          <w:b/>
          <w:bCs/>
          <w:i/>
          <w:color w:val="000000" w:themeColor="text1"/>
          <w:sz w:val="24"/>
          <w:szCs w:val="24"/>
        </w:rPr>
        <w:t>)</w:t>
      </w:r>
      <w:r w:rsidR="00425826">
        <w:rPr>
          <w:rFonts w:ascii="Calibri" w:eastAsia="Calibri" w:hAnsi="Calibri" w:cs="Times New Roman"/>
          <w:b/>
          <w:bCs/>
          <w:i/>
          <w:color w:val="000000" w:themeColor="text1"/>
          <w:sz w:val="24"/>
          <w:szCs w:val="24"/>
        </w:rPr>
        <w:t xml:space="preserve"> </w:t>
      </w:r>
      <w:r w:rsidR="00425826">
        <w:rPr>
          <w:rFonts w:ascii="Calibri" w:eastAsia="Calibri" w:hAnsi="Calibri" w:cs="Times New Roman"/>
          <w:b/>
          <w:bCs/>
          <w:i/>
          <w:noProof/>
          <w:color w:val="000000" w:themeColor="text1"/>
          <w:sz w:val="24"/>
          <w:szCs w:val="24"/>
        </w:rPr>
        <w:drawing>
          <wp:inline distT="0" distB="0" distL="0" distR="0" wp14:anchorId="7BAA99C2">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8D17E2" w:rsidRPr="008D17E2" w:rsidRDefault="008D17E2" w:rsidP="00923CEF">
      <w:pPr>
        <w:spacing w:before="120" w:after="120" w:line="259" w:lineRule="auto"/>
        <w:rPr>
          <w:rFonts w:ascii="Calibri" w:eastAsia="Calibri" w:hAnsi="Calibri" w:cs="Times New Roman"/>
          <w:bCs/>
          <w:color w:val="000000"/>
          <w:sz w:val="24"/>
          <w:szCs w:val="24"/>
        </w:rPr>
      </w:pPr>
      <w:r w:rsidRPr="008D17E2">
        <w:rPr>
          <w:rFonts w:ascii="Calibri" w:eastAsia="Calibri" w:hAnsi="Calibri" w:cs="Times New Roman"/>
          <w:bCs/>
          <w:color w:val="000000"/>
          <w:sz w:val="24"/>
          <w:szCs w:val="24"/>
        </w:rPr>
        <w:t xml:space="preserve">The Bureau has published the 2018 list of rural and underserved counties and a separate 2018 list that includes only rural counties. The Bureau has also updated the rural and underserved areas tool on its website for 2018. The lists and the tool help creditors determine whether a property </w:t>
      </w:r>
      <w:proofErr w:type="gramStart"/>
      <w:r w:rsidRPr="008D17E2">
        <w:rPr>
          <w:rFonts w:ascii="Calibri" w:eastAsia="Calibri" w:hAnsi="Calibri" w:cs="Times New Roman"/>
          <w:bCs/>
          <w:color w:val="000000"/>
          <w:sz w:val="24"/>
          <w:szCs w:val="24"/>
        </w:rPr>
        <w:t>is located in</w:t>
      </w:r>
      <w:proofErr w:type="gramEnd"/>
      <w:r w:rsidRPr="008D17E2">
        <w:rPr>
          <w:rFonts w:ascii="Calibri" w:eastAsia="Calibri" w:hAnsi="Calibri" w:cs="Times New Roman"/>
          <w:bCs/>
          <w:color w:val="000000"/>
          <w:sz w:val="24"/>
          <w:szCs w:val="24"/>
        </w:rPr>
        <w:t xml:space="preserve"> a rural or underserved area for purposes of applying certain regulatory provisions related to mortgage loans. A creditor that makes a first-lien mortgage loan secured by a property located in a rural or underserved area during 2018 meets the requirements to be a creditor that operates in rural or underserved areas during 2019 and for loan applications received before April 1, 2020. </w:t>
      </w:r>
    </w:p>
    <w:p w:rsidR="008D17E2" w:rsidRPr="008D17E2" w:rsidRDefault="008D17E2" w:rsidP="00923CEF">
      <w:pPr>
        <w:spacing w:before="120" w:after="120" w:line="259" w:lineRule="auto"/>
        <w:rPr>
          <w:rFonts w:ascii="Calibri" w:eastAsia="Calibri" w:hAnsi="Calibri" w:cs="Times New Roman"/>
          <w:bCs/>
          <w:color w:val="000000"/>
          <w:sz w:val="24"/>
          <w:szCs w:val="24"/>
        </w:rPr>
      </w:pPr>
      <w:r w:rsidRPr="008D17E2">
        <w:rPr>
          <w:rFonts w:ascii="Calibri" w:eastAsia="Calibri" w:hAnsi="Calibri" w:cs="Times New Roman"/>
          <w:bCs/>
          <w:color w:val="000000"/>
          <w:sz w:val="24"/>
          <w:szCs w:val="24"/>
        </w:rPr>
        <w:t xml:space="preserve">The 2018 lists can be found </w:t>
      </w:r>
      <w:hyperlink r:id="rId26" w:history="1">
        <w:r w:rsidRPr="008D17E2">
          <w:rPr>
            <w:rStyle w:val="Hyperlink"/>
            <w:rFonts w:ascii="Calibri" w:eastAsia="Calibri" w:hAnsi="Calibri"/>
            <w:sz w:val="24"/>
            <w:szCs w:val="24"/>
          </w:rPr>
          <w:t>here</w:t>
        </w:r>
      </w:hyperlink>
      <w:r w:rsidRPr="008D17E2">
        <w:rPr>
          <w:rFonts w:ascii="Calibri" w:eastAsia="Calibri" w:hAnsi="Calibri" w:cs="Times New Roman"/>
          <w:bCs/>
          <w:color w:val="000000"/>
          <w:sz w:val="24"/>
          <w:szCs w:val="24"/>
        </w:rPr>
        <w:t xml:space="preserve">. The rural and underserved areas tool can be found </w:t>
      </w:r>
      <w:hyperlink r:id="rId27" w:history="1">
        <w:r w:rsidRPr="008D17E2">
          <w:rPr>
            <w:rStyle w:val="Hyperlink"/>
            <w:rFonts w:ascii="Calibri" w:eastAsia="Calibri" w:hAnsi="Calibri"/>
            <w:sz w:val="24"/>
            <w:szCs w:val="24"/>
          </w:rPr>
          <w:t>here</w:t>
        </w:r>
      </w:hyperlink>
      <w:r w:rsidRPr="008D17E2">
        <w:rPr>
          <w:rFonts w:ascii="Calibri" w:eastAsia="Calibri" w:hAnsi="Calibri" w:cs="Times New Roman"/>
          <w:bCs/>
          <w:color w:val="000000"/>
          <w:sz w:val="24"/>
          <w:szCs w:val="24"/>
        </w:rPr>
        <w:t>.</w:t>
      </w:r>
    </w:p>
    <w:p w:rsidR="00B11593" w:rsidRPr="000C7C83" w:rsidRDefault="00B11593"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28" w:history="1">
        <w:r w:rsidR="008D17E2" w:rsidRPr="008D17E2">
          <w:rPr>
            <w:rStyle w:val="Hyperlink"/>
            <w:rFonts w:ascii="Calibri" w:eastAsia="Calibri" w:hAnsi="Calibri"/>
            <w:sz w:val="24"/>
            <w:szCs w:val="24"/>
          </w:rPr>
          <w:t>link</w:t>
        </w:r>
      </w:hyperlink>
      <w:r w:rsidR="008D17E2">
        <w:rPr>
          <w:rFonts w:ascii="Calibri" w:eastAsia="Calibri" w:hAnsi="Calibri" w:cs="Times New Roman"/>
          <w:b/>
          <w:bCs/>
          <w:color w:val="000000"/>
          <w:sz w:val="24"/>
          <w:szCs w:val="24"/>
        </w:rPr>
        <w:t xml:space="preserve">. </w:t>
      </w:r>
    </w:p>
    <w:p w:rsidR="0059023F" w:rsidRPr="0059023F" w:rsidRDefault="0059023F" w:rsidP="00923CEF">
      <w:pPr>
        <w:spacing w:before="120" w:after="120" w:line="259" w:lineRule="auto"/>
        <w:rPr>
          <w:rFonts w:ascii="Calibri" w:eastAsia="Calibri" w:hAnsi="Calibri" w:cs="Times New Roman"/>
          <w:b/>
          <w:bCs/>
          <w:i/>
          <w:color w:val="002060"/>
          <w:sz w:val="24"/>
          <w:szCs w:val="24"/>
        </w:rPr>
      </w:pPr>
      <w:r w:rsidRPr="0059023F">
        <w:rPr>
          <w:rFonts w:ascii="Calibri" w:eastAsia="Calibri" w:hAnsi="Calibri" w:cs="Times New Roman"/>
          <w:b/>
          <w:bCs/>
          <w:i/>
          <w:color w:val="002060"/>
          <w:sz w:val="24"/>
          <w:szCs w:val="24"/>
        </w:rPr>
        <w:t xml:space="preserve">Comment: This rural exemption is </w:t>
      </w:r>
      <w:r w:rsidRPr="005B7514">
        <w:rPr>
          <w:rFonts w:ascii="Calibri" w:eastAsia="Calibri" w:hAnsi="Calibri" w:cs="Times New Roman"/>
          <w:b/>
          <w:bCs/>
          <w:i/>
          <w:color w:val="002060"/>
          <w:sz w:val="24"/>
          <w:szCs w:val="24"/>
        </w:rPr>
        <w:t>important</w:t>
      </w:r>
      <w:r w:rsidRPr="0059023F">
        <w:rPr>
          <w:rFonts w:ascii="Calibri" w:eastAsia="Calibri" w:hAnsi="Calibri" w:cs="Times New Roman"/>
          <w:b/>
          <w:bCs/>
          <w:i/>
          <w:color w:val="002060"/>
          <w:sz w:val="24"/>
          <w:szCs w:val="24"/>
        </w:rPr>
        <w:t xml:space="preserve"> for </w:t>
      </w:r>
      <w:r w:rsidR="00460842">
        <w:rPr>
          <w:rFonts w:ascii="Calibri" w:eastAsia="Calibri" w:hAnsi="Calibri" w:cs="Times New Roman"/>
          <w:b/>
          <w:bCs/>
          <w:i/>
          <w:color w:val="002060"/>
          <w:sz w:val="24"/>
          <w:szCs w:val="24"/>
        </w:rPr>
        <w:t>banks</w:t>
      </w:r>
      <w:r w:rsidR="00460842" w:rsidRPr="00460842">
        <w:rPr>
          <w:rFonts w:ascii="Calibri" w:eastAsia="Calibri" w:hAnsi="Calibri" w:cs="Times New Roman"/>
          <w:b/>
          <w:bCs/>
          <w:i/>
          <w:color w:val="002060"/>
          <w:sz w:val="24"/>
          <w:szCs w:val="24"/>
        </w:rPr>
        <w:t xml:space="preserve"> </w:t>
      </w:r>
      <w:r w:rsidR="00460842">
        <w:rPr>
          <w:rFonts w:ascii="Calibri" w:eastAsia="Calibri" w:hAnsi="Calibri" w:cs="Times New Roman"/>
          <w:b/>
          <w:bCs/>
          <w:i/>
          <w:color w:val="002060"/>
          <w:sz w:val="24"/>
          <w:szCs w:val="24"/>
        </w:rPr>
        <w:t>determining</w:t>
      </w:r>
      <w:r w:rsidR="00460842" w:rsidRPr="00460842">
        <w:rPr>
          <w:rFonts w:ascii="Calibri" w:eastAsia="Calibri" w:hAnsi="Calibri" w:cs="Times New Roman"/>
          <w:b/>
          <w:bCs/>
          <w:i/>
          <w:color w:val="002060"/>
          <w:sz w:val="24"/>
          <w:szCs w:val="24"/>
        </w:rPr>
        <w:t xml:space="preserve"> whether they are exempt from certain regulatory requirements under the </w:t>
      </w:r>
      <w:r w:rsidR="00460842">
        <w:rPr>
          <w:rFonts w:ascii="Calibri" w:eastAsia="Calibri" w:hAnsi="Calibri" w:cs="Times New Roman"/>
          <w:b/>
          <w:bCs/>
          <w:i/>
          <w:color w:val="002060"/>
          <w:sz w:val="24"/>
          <w:szCs w:val="24"/>
        </w:rPr>
        <w:t>CFPB</w:t>
      </w:r>
      <w:r w:rsidR="00923CEF">
        <w:rPr>
          <w:rFonts w:ascii="Calibri" w:eastAsia="Calibri" w:hAnsi="Calibri" w:cs="Times New Roman"/>
          <w:b/>
          <w:bCs/>
          <w:i/>
          <w:color w:val="002060"/>
          <w:sz w:val="24"/>
          <w:szCs w:val="24"/>
        </w:rPr>
        <w:t>’</w:t>
      </w:r>
      <w:r w:rsidR="00460842">
        <w:rPr>
          <w:rFonts w:ascii="Calibri" w:eastAsia="Calibri" w:hAnsi="Calibri" w:cs="Times New Roman"/>
          <w:b/>
          <w:bCs/>
          <w:i/>
          <w:color w:val="002060"/>
          <w:sz w:val="24"/>
          <w:szCs w:val="24"/>
        </w:rPr>
        <w:t>s</w:t>
      </w:r>
      <w:r w:rsidR="00460842" w:rsidRPr="00460842">
        <w:rPr>
          <w:rFonts w:ascii="Calibri" w:eastAsia="Calibri" w:hAnsi="Calibri" w:cs="Times New Roman"/>
          <w:b/>
          <w:bCs/>
          <w:i/>
          <w:color w:val="002060"/>
          <w:sz w:val="24"/>
          <w:szCs w:val="24"/>
        </w:rPr>
        <w:t xml:space="preserve"> Ability-to-Repay, escrow, HOEPA and appraisal rules</w:t>
      </w:r>
      <w:r w:rsidR="00460842">
        <w:rPr>
          <w:rFonts w:ascii="Calibri" w:eastAsia="Calibri" w:hAnsi="Calibri" w:cs="Times New Roman"/>
          <w:b/>
          <w:bCs/>
          <w:i/>
          <w:color w:val="002060"/>
          <w:sz w:val="24"/>
          <w:szCs w:val="24"/>
        </w:rPr>
        <w:t xml:space="preserve"> in 2018</w:t>
      </w:r>
      <w:r w:rsidR="00460842" w:rsidRPr="00460842">
        <w:rPr>
          <w:rFonts w:ascii="Calibri" w:eastAsia="Calibri" w:hAnsi="Calibri" w:cs="Times New Roman"/>
          <w:b/>
          <w:bCs/>
          <w:i/>
          <w:color w:val="002060"/>
          <w:sz w:val="24"/>
          <w:szCs w:val="24"/>
        </w:rPr>
        <w:t>.</w:t>
      </w:r>
    </w:p>
    <w:p w:rsidR="009F3ED5" w:rsidRDefault="009F3ED5" w:rsidP="00923CEF">
      <w:pPr>
        <w:spacing w:before="120" w:after="120" w:line="259" w:lineRule="auto"/>
        <w:rPr>
          <w:rFonts w:ascii="Calibri" w:eastAsia="Calibri" w:hAnsi="Calibri" w:cs="Times New Roman"/>
          <w:b/>
          <w:bCs/>
          <w:i/>
          <w:color w:val="002060"/>
          <w:sz w:val="24"/>
          <w:szCs w:val="24"/>
        </w:rPr>
      </w:pPr>
    </w:p>
    <w:p w:rsidR="009F3ED5" w:rsidRPr="000C7C83" w:rsidRDefault="007F23E8" w:rsidP="00923CEF">
      <w:pPr>
        <w:spacing w:before="120" w:after="120" w:line="259" w:lineRule="auto"/>
        <w:rPr>
          <w:rFonts w:ascii="Calibri" w:eastAsia="Calibri" w:hAnsi="Calibri" w:cs="Times New Roman"/>
          <w:b/>
          <w:bCs/>
          <w:i/>
          <w:color w:val="000000" w:themeColor="text1"/>
          <w:sz w:val="24"/>
          <w:szCs w:val="24"/>
        </w:rPr>
      </w:pPr>
      <w:r w:rsidRPr="009F3ED5">
        <w:rPr>
          <w:rFonts w:ascii="Calibri" w:eastAsia="Calibri" w:hAnsi="Calibri" w:cs="Times New Roman"/>
          <w:b/>
          <w:bCs/>
          <w:i/>
          <w:color w:val="000000" w:themeColor="text1"/>
          <w:sz w:val="24"/>
          <w:szCs w:val="24"/>
        </w:rPr>
        <w:t xml:space="preserve">Consumer Financial Protection Bureau Issues Request </w:t>
      </w:r>
      <w:r>
        <w:rPr>
          <w:rFonts w:ascii="Calibri" w:eastAsia="Calibri" w:hAnsi="Calibri" w:cs="Times New Roman"/>
          <w:b/>
          <w:bCs/>
          <w:i/>
          <w:color w:val="000000" w:themeColor="text1"/>
          <w:sz w:val="24"/>
          <w:szCs w:val="24"/>
        </w:rPr>
        <w:t>f</w:t>
      </w:r>
      <w:r w:rsidRPr="009F3ED5">
        <w:rPr>
          <w:rFonts w:ascii="Calibri" w:eastAsia="Calibri" w:hAnsi="Calibri" w:cs="Times New Roman"/>
          <w:b/>
          <w:bCs/>
          <w:i/>
          <w:color w:val="000000" w:themeColor="text1"/>
          <w:sz w:val="24"/>
          <w:szCs w:val="24"/>
        </w:rPr>
        <w:t xml:space="preserve">or Information </w:t>
      </w:r>
      <w:r w:rsidR="00A40EAC">
        <w:rPr>
          <w:rFonts w:ascii="Calibri" w:eastAsia="Calibri" w:hAnsi="Calibri" w:cs="Times New Roman"/>
          <w:b/>
          <w:bCs/>
          <w:i/>
          <w:color w:val="000000" w:themeColor="text1"/>
          <w:sz w:val="24"/>
          <w:szCs w:val="24"/>
        </w:rPr>
        <w:t>o</w:t>
      </w:r>
      <w:r w:rsidRPr="009F3ED5">
        <w:rPr>
          <w:rFonts w:ascii="Calibri" w:eastAsia="Calibri" w:hAnsi="Calibri" w:cs="Times New Roman"/>
          <w:b/>
          <w:bCs/>
          <w:i/>
          <w:color w:val="000000" w:themeColor="text1"/>
          <w:sz w:val="24"/>
          <w:szCs w:val="24"/>
        </w:rPr>
        <w:t>n Consumer Complaint Reporting</w:t>
      </w:r>
      <w:r w:rsidRPr="000C7C83">
        <w:rPr>
          <w:rFonts w:ascii="Calibri" w:eastAsia="Calibri" w:hAnsi="Calibri" w:cs="Times New Roman"/>
          <w:b/>
          <w:bCs/>
          <w:i/>
          <w:color w:val="000000" w:themeColor="text1"/>
          <w:sz w:val="24"/>
          <w:szCs w:val="24"/>
        </w:rPr>
        <w:t xml:space="preserve"> </w:t>
      </w:r>
      <w:r w:rsidR="009F3ED5" w:rsidRPr="000C7C83">
        <w:rPr>
          <w:rFonts w:ascii="Calibri" w:eastAsia="Calibri" w:hAnsi="Calibri" w:cs="Times New Roman"/>
          <w:b/>
          <w:bCs/>
          <w:i/>
          <w:color w:val="000000" w:themeColor="text1"/>
          <w:sz w:val="24"/>
          <w:szCs w:val="24"/>
        </w:rPr>
        <w:t>(</w:t>
      </w:r>
      <w:r w:rsidR="009F3ED5">
        <w:rPr>
          <w:rFonts w:ascii="Calibri" w:eastAsia="Calibri" w:hAnsi="Calibri" w:cs="Times New Roman"/>
          <w:b/>
          <w:bCs/>
          <w:i/>
          <w:color w:val="000000" w:themeColor="text1"/>
          <w:sz w:val="24"/>
          <w:szCs w:val="24"/>
        </w:rPr>
        <w:t>03.01.2018</w:t>
      </w:r>
      <w:r w:rsidR="009F3ED5" w:rsidRPr="000C7C83">
        <w:rPr>
          <w:rFonts w:ascii="Calibri" w:eastAsia="Calibri" w:hAnsi="Calibri" w:cs="Times New Roman"/>
          <w:b/>
          <w:bCs/>
          <w:i/>
          <w:color w:val="000000" w:themeColor="text1"/>
          <w:sz w:val="24"/>
          <w:szCs w:val="24"/>
        </w:rPr>
        <w:t>)</w:t>
      </w:r>
      <w:r w:rsidR="003F5638">
        <w:rPr>
          <w:rFonts w:ascii="Calibri" w:eastAsia="Calibri" w:hAnsi="Calibri" w:cs="Times New Roman"/>
          <w:b/>
          <w:bCs/>
          <w:i/>
          <w:color w:val="000000" w:themeColor="text1"/>
          <w:sz w:val="24"/>
          <w:szCs w:val="24"/>
        </w:rPr>
        <w:t xml:space="preserve"> </w:t>
      </w:r>
      <w:r w:rsidR="003F5638">
        <w:rPr>
          <w:rFonts w:ascii="Calibri" w:eastAsia="Calibri" w:hAnsi="Calibri" w:cs="Times New Roman"/>
          <w:b/>
          <w:bCs/>
          <w:i/>
          <w:noProof/>
          <w:color w:val="000000" w:themeColor="text1"/>
          <w:sz w:val="24"/>
          <w:szCs w:val="24"/>
        </w:rPr>
        <w:drawing>
          <wp:inline distT="0" distB="0" distL="0" distR="0" wp14:anchorId="16773AB4">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9F3ED5" w:rsidRPr="009F3ED5" w:rsidRDefault="009F3ED5" w:rsidP="00923CEF">
      <w:pPr>
        <w:spacing w:before="120" w:after="120" w:line="259" w:lineRule="auto"/>
        <w:rPr>
          <w:rFonts w:ascii="Calibri" w:eastAsia="Calibri" w:hAnsi="Calibri" w:cs="Times New Roman"/>
          <w:bCs/>
          <w:color w:val="000000"/>
          <w:sz w:val="24"/>
          <w:szCs w:val="24"/>
        </w:rPr>
      </w:pPr>
      <w:r w:rsidRPr="009F3ED5">
        <w:rPr>
          <w:rFonts w:ascii="Calibri" w:eastAsia="Calibri" w:hAnsi="Calibri" w:cs="Times New Roman"/>
          <w:b/>
          <w:bCs/>
          <w:color w:val="000000"/>
          <w:sz w:val="24"/>
          <w:szCs w:val="24"/>
        </w:rPr>
        <w:t>WASHINGTON, D.C.</w:t>
      </w:r>
      <w:r w:rsidRPr="009F3ED5">
        <w:rPr>
          <w:rFonts w:ascii="Calibri" w:eastAsia="Calibri" w:hAnsi="Calibri" w:cs="Times New Roman"/>
          <w:bCs/>
          <w:color w:val="000000"/>
          <w:sz w:val="24"/>
          <w:szCs w:val="24"/>
        </w:rPr>
        <w:t xml:space="preserve"> — The Consumer Financial Protection Bureau (Bureau) today issued a Request for Information (RFI) about the Bureau</w:t>
      </w:r>
      <w:r w:rsidR="00923CEF">
        <w:rPr>
          <w:rFonts w:ascii="Calibri" w:eastAsia="Calibri" w:hAnsi="Calibri" w:cs="Times New Roman"/>
          <w:bCs/>
          <w:color w:val="000000"/>
          <w:sz w:val="24"/>
          <w:szCs w:val="24"/>
        </w:rPr>
        <w:t>’</w:t>
      </w:r>
      <w:r w:rsidRPr="009F3ED5">
        <w:rPr>
          <w:rFonts w:ascii="Calibri" w:eastAsia="Calibri" w:hAnsi="Calibri" w:cs="Times New Roman"/>
          <w:bCs/>
          <w:color w:val="000000"/>
          <w:sz w:val="24"/>
          <w:szCs w:val="24"/>
        </w:rPr>
        <w:t>s public reporting of consumer complaints. The Bureau is seeking comments and information from interested parties on the usefulness of complaint reporting and analysis, as well as specific suggestions or best practices for complaint reporting. This is the sixth in a series of RFIs announced as part of Acting Director Mick Mulvaney</w:t>
      </w:r>
      <w:r w:rsidR="00923CEF">
        <w:rPr>
          <w:rFonts w:ascii="Calibri" w:eastAsia="Calibri" w:hAnsi="Calibri" w:cs="Times New Roman"/>
          <w:bCs/>
          <w:color w:val="000000"/>
          <w:sz w:val="24"/>
          <w:szCs w:val="24"/>
        </w:rPr>
        <w:t>’</w:t>
      </w:r>
      <w:r w:rsidRPr="009F3ED5">
        <w:rPr>
          <w:rFonts w:ascii="Calibri" w:eastAsia="Calibri" w:hAnsi="Calibri" w:cs="Times New Roman"/>
          <w:bCs/>
          <w:color w:val="000000"/>
          <w:sz w:val="24"/>
          <w:szCs w:val="24"/>
        </w:rPr>
        <w:t>s call for evidence to ensure the Bureau is fulfilling its proper and appropriate functions to best protect consumers. This RFI will provide an opportunity for the public to submit feedback and suggest ways to improve outcomes for both consumers and covered entities. The next RFI in the series will address the Bureau</w:t>
      </w:r>
      <w:r w:rsidR="00923CEF">
        <w:rPr>
          <w:rFonts w:ascii="Calibri" w:eastAsia="Calibri" w:hAnsi="Calibri" w:cs="Times New Roman"/>
          <w:bCs/>
          <w:color w:val="000000"/>
          <w:sz w:val="24"/>
          <w:szCs w:val="24"/>
        </w:rPr>
        <w:t>’</w:t>
      </w:r>
      <w:r w:rsidRPr="009F3ED5">
        <w:rPr>
          <w:rFonts w:ascii="Calibri" w:eastAsia="Calibri" w:hAnsi="Calibri" w:cs="Times New Roman"/>
          <w:bCs/>
          <w:color w:val="000000"/>
          <w:sz w:val="24"/>
          <w:szCs w:val="24"/>
        </w:rPr>
        <w:t>s rulemaking processes, and will be issued next week.</w:t>
      </w:r>
    </w:p>
    <w:p w:rsidR="009F3ED5" w:rsidRPr="009F3ED5" w:rsidRDefault="009F3ED5" w:rsidP="00923CEF">
      <w:pPr>
        <w:spacing w:before="120" w:after="120" w:line="259" w:lineRule="auto"/>
        <w:rPr>
          <w:rFonts w:ascii="Calibri" w:eastAsia="Calibri" w:hAnsi="Calibri" w:cs="Times New Roman"/>
          <w:bCs/>
          <w:color w:val="000000"/>
          <w:sz w:val="24"/>
          <w:szCs w:val="24"/>
        </w:rPr>
      </w:pPr>
      <w:r w:rsidRPr="009F3ED5">
        <w:rPr>
          <w:rFonts w:ascii="Calibri" w:eastAsia="Calibri" w:hAnsi="Calibri" w:cs="Times New Roman"/>
          <w:b/>
          <w:bCs/>
          <w:color w:val="000000"/>
          <w:sz w:val="24"/>
          <w:szCs w:val="24"/>
        </w:rPr>
        <w:t>The RFI on complaint reporting is available at:</w:t>
      </w:r>
      <w:r w:rsidRPr="009F3ED5">
        <w:rPr>
          <w:rFonts w:ascii="Calibri" w:eastAsia="Calibri" w:hAnsi="Calibri" w:cs="Times New Roman"/>
          <w:bCs/>
          <w:color w:val="000000"/>
          <w:sz w:val="24"/>
          <w:szCs w:val="24"/>
        </w:rPr>
        <w:t xml:space="preserve"> </w:t>
      </w:r>
      <w:hyperlink r:id="rId29" w:history="1">
        <w:r w:rsidRPr="009F3ED5">
          <w:rPr>
            <w:rStyle w:val="Hyperlink"/>
            <w:rFonts w:ascii="Calibri" w:eastAsia="Calibri" w:hAnsi="Calibri"/>
            <w:sz w:val="24"/>
            <w:szCs w:val="24"/>
          </w:rPr>
          <w:t>https://files.consumerfinance.gov/f/documents/cfpb_rfi_complaint-reporting_032018.pdf</w:t>
        </w:r>
      </w:hyperlink>
      <w:r w:rsidRPr="009F3ED5">
        <w:rPr>
          <w:rFonts w:ascii="Calibri" w:eastAsia="Calibri" w:hAnsi="Calibri" w:cs="Times New Roman"/>
          <w:bCs/>
          <w:color w:val="000000"/>
          <w:sz w:val="24"/>
          <w:szCs w:val="24"/>
        </w:rPr>
        <w:t> </w:t>
      </w:r>
    </w:p>
    <w:p w:rsidR="009F3ED5" w:rsidRPr="000C7C83" w:rsidRDefault="009F3ED5"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30" w:history="1">
        <w:r w:rsidRPr="004840D1">
          <w:rPr>
            <w:rStyle w:val="Hyperlink"/>
            <w:rFonts w:ascii="Calibri" w:eastAsia="Calibri" w:hAnsi="Calibri"/>
            <w:sz w:val="24"/>
            <w:szCs w:val="24"/>
          </w:rPr>
          <w:t>link</w:t>
        </w:r>
      </w:hyperlink>
      <w:r>
        <w:rPr>
          <w:rFonts w:ascii="Calibri" w:eastAsia="Calibri" w:hAnsi="Calibri" w:cs="Times New Roman"/>
          <w:b/>
          <w:bCs/>
          <w:color w:val="000000"/>
          <w:sz w:val="24"/>
          <w:szCs w:val="24"/>
        </w:rPr>
        <w:t xml:space="preserve">. </w:t>
      </w:r>
    </w:p>
    <w:p w:rsidR="0059023F" w:rsidRPr="005B7514" w:rsidRDefault="0059023F" w:rsidP="005B7514">
      <w:pPr>
        <w:rPr>
          <w:rFonts w:cstheme="minorHAnsi"/>
          <w:b/>
          <w:i/>
          <w:color w:val="002060"/>
          <w:sz w:val="24"/>
          <w:szCs w:val="24"/>
        </w:rPr>
      </w:pPr>
      <w:r w:rsidRPr="005B7514">
        <w:rPr>
          <w:rFonts w:cstheme="minorHAnsi"/>
          <w:b/>
          <w:i/>
          <w:color w:val="002060"/>
          <w:sz w:val="24"/>
          <w:szCs w:val="24"/>
        </w:rPr>
        <w:t xml:space="preserve">Comment: The CFPB complaint process is different from other regulators in that </w:t>
      </w:r>
      <w:r w:rsidRPr="005B7514">
        <w:rPr>
          <w:rFonts w:cstheme="minorHAnsi"/>
          <w:b/>
          <w:i/>
          <w:color w:val="002060"/>
          <w:sz w:val="24"/>
          <w:szCs w:val="24"/>
          <w:u w:val="single"/>
        </w:rPr>
        <w:t>all</w:t>
      </w:r>
      <w:r w:rsidRPr="005B7514">
        <w:rPr>
          <w:rFonts w:cstheme="minorHAnsi"/>
          <w:b/>
          <w:i/>
          <w:color w:val="002060"/>
          <w:sz w:val="24"/>
          <w:szCs w:val="24"/>
        </w:rPr>
        <w:t xml:space="preserve"> complaints are posted </w:t>
      </w:r>
      <w:proofErr w:type="gramStart"/>
      <w:r w:rsidRPr="005B7514">
        <w:rPr>
          <w:rFonts w:cstheme="minorHAnsi"/>
          <w:b/>
          <w:i/>
          <w:color w:val="002060"/>
          <w:sz w:val="24"/>
          <w:szCs w:val="24"/>
        </w:rPr>
        <w:t>whether or not</w:t>
      </w:r>
      <w:proofErr w:type="gramEnd"/>
      <w:r w:rsidRPr="005B7514">
        <w:rPr>
          <w:rFonts w:cstheme="minorHAnsi"/>
          <w:b/>
          <w:i/>
          <w:color w:val="002060"/>
          <w:sz w:val="24"/>
          <w:szCs w:val="24"/>
        </w:rPr>
        <w:t xml:space="preserve"> they have been validated!</w:t>
      </w:r>
      <w:r w:rsidR="00460842" w:rsidRPr="005B7514">
        <w:rPr>
          <w:rFonts w:cstheme="minorHAnsi"/>
          <w:b/>
          <w:i/>
          <w:color w:val="002060"/>
          <w:sz w:val="24"/>
          <w:szCs w:val="24"/>
          <w:shd w:val="clear" w:color="auto" w:fill="FFFFFF"/>
        </w:rPr>
        <w:t xml:space="preserve"> </w:t>
      </w:r>
      <w:r w:rsidR="00460842" w:rsidRPr="005B7514">
        <w:rPr>
          <w:rFonts w:cstheme="minorHAnsi"/>
          <w:b/>
          <w:i/>
          <w:color w:val="002060"/>
          <w:sz w:val="24"/>
          <w:szCs w:val="24"/>
        </w:rPr>
        <w:t>This is the sixth RFI issued by Acting Director Mick Mulvaney, part of his call for evidence that the bureau is fulfilling its proper and appropriate functions to best protect consumers.</w:t>
      </w:r>
    </w:p>
    <w:p w:rsidR="003312A1" w:rsidRPr="00436AD8" w:rsidRDefault="0059023F" w:rsidP="00923CEF">
      <w:pPr>
        <w:pStyle w:val="CCTOCHeading"/>
        <w:tabs>
          <w:tab w:val="left" w:pos="8712"/>
        </w:tabs>
        <w:spacing w:line="259" w:lineRule="auto"/>
        <w:rPr>
          <w:rFonts w:asciiTheme="minorHAnsi" w:hAnsiTheme="minorHAnsi" w:cstheme="minorHAnsi"/>
        </w:rPr>
      </w:pPr>
      <w:r w:rsidRPr="0059023F">
        <w:rPr>
          <w:rFonts w:eastAsia="Calibri" w:cs="Times New Roman"/>
          <w:bCs/>
          <w:i/>
          <w:color w:val="002060"/>
          <w:sz w:val="24"/>
          <w:szCs w:val="24"/>
        </w:rPr>
        <w:t xml:space="preserve"> </w:t>
      </w:r>
      <w:bookmarkStart w:id="16" w:name="_Toc509412612"/>
      <w:r w:rsidR="003312A1" w:rsidRPr="00436AD8">
        <w:rPr>
          <w:rFonts w:asciiTheme="minorHAnsi" w:hAnsiTheme="minorHAnsi" w:cstheme="minorHAnsi"/>
        </w:rPr>
        <w:t>FDIC actions</w:t>
      </w:r>
      <w:bookmarkEnd w:id="10"/>
      <w:r w:rsidR="003312A1" w:rsidRPr="00436AD8">
        <w:rPr>
          <w:rFonts w:asciiTheme="minorHAnsi" w:hAnsiTheme="minorHAnsi" w:cstheme="minorHAnsi"/>
        </w:rPr>
        <w:t xml:space="preserve"> </w:t>
      </w:r>
      <w:r w:rsidR="006E7501" w:rsidRPr="006E7501">
        <w:rPr>
          <w:rFonts w:asciiTheme="minorHAnsi" w:hAnsiTheme="minorHAnsi" w:cstheme="minorHAnsi"/>
        </w:rPr>
        <w:t>and news</w:t>
      </w:r>
      <w:bookmarkEnd w:id="16"/>
      <w:r w:rsidR="00F83AE4">
        <w:rPr>
          <w:rFonts w:asciiTheme="minorHAnsi" w:hAnsiTheme="minorHAnsi" w:cstheme="minorHAnsi"/>
        </w:rPr>
        <w:tab/>
      </w:r>
    </w:p>
    <w:p w:rsidR="009423C2" w:rsidRPr="000C7C83" w:rsidRDefault="00860012" w:rsidP="00923CEF">
      <w:pPr>
        <w:spacing w:before="120" w:after="120" w:line="259" w:lineRule="auto"/>
        <w:rPr>
          <w:rFonts w:ascii="Calibri" w:eastAsia="Calibri" w:hAnsi="Calibri" w:cs="Times New Roman"/>
          <w:b/>
          <w:bCs/>
          <w:i/>
          <w:color w:val="000000" w:themeColor="text1"/>
          <w:sz w:val="24"/>
          <w:szCs w:val="24"/>
        </w:rPr>
      </w:pPr>
      <w:bookmarkStart w:id="17" w:name="_Hlk507066154"/>
      <w:bookmarkStart w:id="18" w:name="_Toc409519095"/>
      <w:bookmarkStart w:id="19" w:name="_Toc504138795"/>
      <w:bookmarkEnd w:id="11"/>
      <w:bookmarkEnd w:id="12"/>
      <w:bookmarkEnd w:id="13"/>
      <w:bookmarkEnd w:id="14"/>
      <w:bookmarkEnd w:id="15"/>
      <w:r w:rsidRPr="00860012">
        <w:rPr>
          <w:rFonts w:ascii="Calibri" w:eastAsia="Calibri" w:hAnsi="Calibri" w:cs="Times New Roman"/>
          <w:b/>
          <w:bCs/>
          <w:i/>
          <w:color w:val="000000" w:themeColor="text1"/>
          <w:sz w:val="24"/>
          <w:szCs w:val="24"/>
        </w:rPr>
        <w:t>FDIC Provides Q&amp;As for Consumers as Part of National Consumer Protection Week</w:t>
      </w:r>
      <w:r>
        <w:rPr>
          <w:rFonts w:ascii="Calibri" w:eastAsia="Calibri" w:hAnsi="Calibri" w:cs="Times New Roman"/>
          <w:b/>
          <w:bCs/>
          <w:i/>
          <w:color w:val="000000" w:themeColor="text1"/>
          <w:sz w:val="24"/>
          <w:szCs w:val="24"/>
        </w:rPr>
        <w:t xml:space="preserve"> </w:t>
      </w:r>
      <w:r w:rsidR="009423C2" w:rsidRPr="000C7C83">
        <w:rPr>
          <w:rFonts w:ascii="Calibri" w:eastAsia="Calibri" w:hAnsi="Calibri" w:cs="Times New Roman"/>
          <w:b/>
          <w:bCs/>
          <w:i/>
          <w:color w:val="000000" w:themeColor="text1"/>
          <w:sz w:val="24"/>
          <w:szCs w:val="24"/>
        </w:rPr>
        <w:t>(</w:t>
      </w:r>
      <w:r w:rsidR="009423C2">
        <w:rPr>
          <w:rFonts w:ascii="Calibri" w:eastAsia="Calibri" w:hAnsi="Calibri" w:cs="Times New Roman"/>
          <w:b/>
          <w:bCs/>
          <w:i/>
          <w:color w:val="000000" w:themeColor="text1"/>
          <w:sz w:val="24"/>
          <w:szCs w:val="24"/>
        </w:rPr>
        <w:t>03.0</w:t>
      </w:r>
      <w:r>
        <w:rPr>
          <w:rFonts w:ascii="Calibri" w:eastAsia="Calibri" w:hAnsi="Calibri" w:cs="Times New Roman"/>
          <w:b/>
          <w:bCs/>
          <w:i/>
          <w:color w:val="000000" w:themeColor="text1"/>
          <w:sz w:val="24"/>
          <w:szCs w:val="24"/>
        </w:rPr>
        <w:t>5</w:t>
      </w:r>
      <w:r w:rsidR="009423C2">
        <w:rPr>
          <w:rFonts w:ascii="Calibri" w:eastAsia="Calibri" w:hAnsi="Calibri" w:cs="Times New Roman"/>
          <w:b/>
          <w:bCs/>
          <w:i/>
          <w:color w:val="000000" w:themeColor="text1"/>
          <w:sz w:val="24"/>
          <w:szCs w:val="24"/>
        </w:rPr>
        <w:t>.2018</w:t>
      </w:r>
      <w:r w:rsidR="009423C2" w:rsidRPr="000C7C83">
        <w:rPr>
          <w:rFonts w:ascii="Calibri" w:eastAsia="Calibri" w:hAnsi="Calibri" w:cs="Times New Roman"/>
          <w:b/>
          <w:bCs/>
          <w:i/>
          <w:color w:val="000000" w:themeColor="text1"/>
          <w:sz w:val="24"/>
          <w:szCs w:val="24"/>
        </w:rPr>
        <w:t>)</w:t>
      </w:r>
    </w:p>
    <w:p w:rsidR="00860012" w:rsidRPr="00860012" w:rsidRDefault="00860012" w:rsidP="00923CEF">
      <w:pPr>
        <w:spacing w:before="120" w:after="120" w:line="259" w:lineRule="auto"/>
        <w:rPr>
          <w:rFonts w:ascii="Calibri" w:eastAsia="Calibri" w:hAnsi="Calibri" w:cs="Times New Roman"/>
          <w:bCs/>
          <w:color w:val="000000"/>
          <w:sz w:val="24"/>
          <w:szCs w:val="24"/>
        </w:rPr>
      </w:pPr>
      <w:r w:rsidRPr="00860012">
        <w:rPr>
          <w:rFonts w:ascii="Calibri" w:eastAsia="Calibri" w:hAnsi="Calibri" w:cs="Times New Roman"/>
          <w:bCs/>
          <w:color w:val="000000"/>
          <w:sz w:val="24"/>
          <w:szCs w:val="24"/>
        </w:rPr>
        <w:t>In observance of National Consumer Protection Week (NCPW) March 4-10, 2018, the FDIC will post a new question and answer (Q&amp;A) on a different banking topic each weekday at </w:t>
      </w:r>
      <w:hyperlink r:id="rId31" w:history="1">
        <w:r w:rsidRPr="00860012">
          <w:rPr>
            <w:rStyle w:val="Hyperlink"/>
            <w:rFonts w:ascii="Calibri" w:eastAsia="Calibri" w:hAnsi="Calibri"/>
            <w:bCs/>
            <w:sz w:val="24"/>
            <w:szCs w:val="24"/>
          </w:rPr>
          <w:t>www.fdic.gov/ncpw</w:t>
        </w:r>
      </w:hyperlink>
      <w:r w:rsidRPr="00860012">
        <w:rPr>
          <w:rFonts w:ascii="Calibri" w:eastAsia="Calibri" w:hAnsi="Calibri" w:cs="Times New Roman"/>
          <w:bCs/>
          <w:color w:val="000000"/>
          <w:sz w:val="24"/>
          <w:szCs w:val="24"/>
        </w:rPr>
        <w:t xml:space="preserve">. The five Q&amp;As </w:t>
      </w:r>
      <w:r w:rsidRPr="00860012">
        <w:rPr>
          <w:rFonts w:ascii="Calibri" w:eastAsia="Calibri" w:hAnsi="Calibri" w:cs="Times New Roman"/>
          <w:bCs/>
          <w:color w:val="000000"/>
          <w:sz w:val="24"/>
          <w:szCs w:val="24"/>
        </w:rPr>
        <w:lastRenderedPageBreak/>
        <w:t>— covering mobile banking, credit and debit card security precautions, safe deposit boxes, credit reports, and debt collectors — along with other consumer information, will be accessible for reference year-round.</w:t>
      </w:r>
    </w:p>
    <w:p w:rsidR="009423C2" w:rsidRPr="000C7C83" w:rsidRDefault="009423C2"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32" w:history="1">
        <w:r w:rsidRPr="004840D1">
          <w:rPr>
            <w:rStyle w:val="Hyperlink"/>
            <w:rFonts w:ascii="Calibri" w:eastAsia="Calibri" w:hAnsi="Calibri"/>
            <w:sz w:val="24"/>
            <w:szCs w:val="24"/>
          </w:rPr>
          <w:t>link</w:t>
        </w:r>
      </w:hyperlink>
      <w:r>
        <w:rPr>
          <w:rFonts w:ascii="Calibri" w:eastAsia="Calibri" w:hAnsi="Calibri" w:cs="Times New Roman"/>
          <w:b/>
          <w:bCs/>
          <w:color w:val="000000"/>
          <w:sz w:val="24"/>
          <w:szCs w:val="24"/>
        </w:rPr>
        <w:t xml:space="preserve">. </w:t>
      </w:r>
    </w:p>
    <w:p w:rsidR="0059023F" w:rsidRPr="0059023F" w:rsidRDefault="0059023F" w:rsidP="00923CEF">
      <w:pPr>
        <w:spacing w:before="120" w:after="120" w:line="259" w:lineRule="auto"/>
        <w:rPr>
          <w:rFonts w:ascii="Calibri" w:eastAsia="Calibri" w:hAnsi="Calibri" w:cs="Times New Roman"/>
          <w:b/>
          <w:bCs/>
          <w:i/>
          <w:color w:val="002060"/>
          <w:sz w:val="24"/>
          <w:szCs w:val="24"/>
        </w:rPr>
      </w:pPr>
      <w:r w:rsidRPr="0059023F">
        <w:rPr>
          <w:rFonts w:ascii="Calibri" w:eastAsia="Calibri" w:hAnsi="Calibri" w:cs="Times New Roman"/>
          <w:b/>
          <w:bCs/>
          <w:i/>
          <w:color w:val="002060"/>
          <w:sz w:val="24"/>
          <w:szCs w:val="24"/>
        </w:rPr>
        <w:t>Comment: These materials can be a useful tool in a bank</w:t>
      </w:r>
      <w:r w:rsidR="00923CEF">
        <w:rPr>
          <w:rFonts w:ascii="Calibri" w:eastAsia="Calibri" w:hAnsi="Calibri" w:cs="Times New Roman"/>
          <w:b/>
          <w:bCs/>
          <w:i/>
          <w:color w:val="002060"/>
          <w:sz w:val="24"/>
          <w:szCs w:val="24"/>
        </w:rPr>
        <w:t>’</w:t>
      </w:r>
      <w:r w:rsidRPr="0059023F">
        <w:rPr>
          <w:rFonts w:ascii="Calibri" w:eastAsia="Calibri" w:hAnsi="Calibri" w:cs="Times New Roman"/>
          <w:b/>
          <w:bCs/>
          <w:i/>
          <w:color w:val="002060"/>
          <w:sz w:val="24"/>
          <w:szCs w:val="24"/>
        </w:rPr>
        <w:t>s consumer financial literacy outreach.</w:t>
      </w:r>
    </w:p>
    <w:p w:rsidR="009423C2" w:rsidRDefault="009423C2" w:rsidP="00923CEF">
      <w:pPr>
        <w:spacing w:before="120" w:after="120" w:line="259" w:lineRule="auto"/>
        <w:rPr>
          <w:rFonts w:ascii="Calibri" w:eastAsia="Calibri" w:hAnsi="Calibri" w:cs="Times New Roman"/>
          <w:b/>
          <w:bCs/>
          <w:i/>
          <w:iCs/>
          <w:color w:val="000000" w:themeColor="text1"/>
          <w:sz w:val="24"/>
          <w:szCs w:val="24"/>
        </w:rPr>
      </w:pPr>
    </w:p>
    <w:p w:rsidR="005A6433" w:rsidRPr="005A6433" w:rsidRDefault="00F66D73" w:rsidP="00923CEF">
      <w:pPr>
        <w:keepNext/>
        <w:spacing w:before="120" w:after="120" w:line="259" w:lineRule="auto"/>
        <w:rPr>
          <w:rFonts w:ascii="Calibri" w:eastAsia="Calibri" w:hAnsi="Calibri" w:cs="Times New Roman"/>
          <w:b/>
          <w:bCs/>
          <w:i/>
          <w:color w:val="000000" w:themeColor="text1"/>
          <w:sz w:val="24"/>
          <w:szCs w:val="24"/>
        </w:rPr>
      </w:pPr>
      <w:r w:rsidRPr="00F66D73">
        <w:rPr>
          <w:rFonts w:ascii="Calibri" w:eastAsia="Calibri" w:hAnsi="Calibri" w:cs="Times New Roman"/>
          <w:b/>
          <w:bCs/>
          <w:i/>
          <w:iCs/>
          <w:color w:val="000000" w:themeColor="text1"/>
          <w:sz w:val="24"/>
          <w:szCs w:val="24"/>
        </w:rPr>
        <w:t>FDIC Consumer News</w:t>
      </w:r>
      <w:r w:rsidRPr="00F66D73">
        <w:rPr>
          <w:rFonts w:ascii="Calibri" w:eastAsia="Calibri" w:hAnsi="Calibri" w:cs="Times New Roman"/>
          <w:b/>
          <w:bCs/>
          <w:i/>
          <w:color w:val="000000" w:themeColor="text1"/>
          <w:sz w:val="24"/>
          <w:szCs w:val="24"/>
        </w:rPr>
        <w:t> Features Tips on Protecting Assets</w:t>
      </w:r>
      <w:r>
        <w:rPr>
          <w:rFonts w:ascii="Calibri" w:eastAsia="Calibri" w:hAnsi="Calibri" w:cs="Times New Roman"/>
          <w:b/>
          <w:bCs/>
          <w:i/>
          <w:color w:val="000000" w:themeColor="text1"/>
          <w:sz w:val="24"/>
          <w:szCs w:val="24"/>
        </w:rPr>
        <w:t xml:space="preserve"> </w:t>
      </w:r>
      <w:r w:rsidR="005A6433" w:rsidRPr="005A643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w:t>
      </w:r>
      <w:r w:rsidR="005A6433" w:rsidRPr="005A643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05</w:t>
      </w:r>
      <w:r w:rsidR="005A6433" w:rsidRPr="005A643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2018</w:t>
      </w:r>
      <w:r w:rsidR="005A6433" w:rsidRPr="005A6433">
        <w:rPr>
          <w:rFonts w:ascii="Calibri" w:eastAsia="Calibri" w:hAnsi="Calibri" w:cs="Times New Roman"/>
          <w:b/>
          <w:bCs/>
          <w:i/>
          <w:color w:val="000000" w:themeColor="text1"/>
          <w:sz w:val="24"/>
          <w:szCs w:val="24"/>
        </w:rPr>
        <w:t>)</w:t>
      </w:r>
    </w:p>
    <w:p w:rsidR="00F66D73" w:rsidRPr="00F66D73" w:rsidRDefault="00F66D73" w:rsidP="00923CEF">
      <w:pPr>
        <w:spacing w:before="120" w:after="120" w:line="259" w:lineRule="auto"/>
        <w:rPr>
          <w:rFonts w:ascii="Calibri" w:eastAsia="Calibri" w:hAnsi="Calibri" w:cs="Times New Roman"/>
          <w:bCs/>
          <w:color w:val="000000" w:themeColor="text1"/>
          <w:sz w:val="24"/>
          <w:szCs w:val="24"/>
        </w:rPr>
      </w:pPr>
      <w:r w:rsidRPr="00F66D73">
        <w:rPr>
          <w:rFonts w:ascii="Calibri" w:eastAsia="Calibri" w:hAnsi="Calibri" w:cs="Times New Roman"/>
          <w:bCs/>
          <w:color w:val="000000" w:themeColor="text1"/>
          <w:sz w:val="24"/>
          <w:szCs w:val="24"/>
        </w:rPr>
        <w:t>It</w:t>
      </w:r>
      <w:r w:rsidR="00923CEF">
        <w:rPr>
          <w:rFonts w:ascii="Calibri" w:eastAsia="Calibri" w:hAnsi="Calibri" w:cs="Times New Roman"/>
          <w:bCs/>
          <w:color w:val="000000" w:themeColor="text1"/>
          <w:sz w:val="24"/>
          <w:szCs w:val="24"/>
        </w:rPr>
        <w:t>’</w:t>
      </w:r>
      <w:r w:rsidRPr="00F66D73">
        <w:rPr>
          <w:rFonts w:ascii="Calibri" w:eastAsia="Calibri" w:hAnsi="Calibri" w:cs="Times New Roman"/>
          <w:bCs/>
          <w:color w:val="000000" w:themeColor="text1"/>
          <w:sz w:val="24"/>
          <w:szCs w:val="24"/>
        </w:rPr>
        <w:t>s always important for consumers to save money for their future, keep banking and borrowing costs down, and guard their possessions from high-tech thieves in today</w:t>
      </w:r>
      <w:r w:rsidR="00923CEF">
        <w:rPr>
          <w:rFonts w:ascii="Calibri" w:eastAsia="Calibri" w:hAnsi="Calibri" w:cs="Times New Roman"/>
          <w:bCs/>
          <w:color w:val="000000" w:themeColor="text1"/>
          <w:sz w:val="24"/>
          <w:szCs w:val="24"/>
        </w:rPr>
        <w:t>’</w:t>
      </w:r>
      <w:r w:rsidRPr="00F66D73">
        <w:rPr>
          <w:rFonts w:ascii="Calibri" w:eastAsia="Calibri" w:hAnsi="Calibri" w:cs="Times New Roman"/>
          <w:bCs/>
          <w:color w:val="000000" w:themeColor="text1"/>
          <w:sz w:val="24"/>
          <w:szCs w:val="24"/>
        </w:rPr>
        <w:t>s digital world. The Winter 2018 </w:t>
      </w:r>
      <w:r w:rsidRPr="00F66D73">
        <w:rPr>
          <w:rFonts w:ascii="Calibri" w:eastAsia="Calibri" w:hAnsi="Calibri" w:cs="Times New Roman"/>
          <w:bCs/>
          <w:iCs/>
          <w:color w:val="000000" w:themeColor="text1"/>
          <w:sz w:val="24"/>
          <w:szCs w:val="24"/>
        </w:rPr>
        <w:t>FDIC Consumer News</w:t>
      </w:r>
      <w:r w:rsidRPr="00F66D73">
        <w:rPr>
          <w:rFonts w:ascii="Calibri" w:eastAsia="Calibri" w:hAnsi="Calibri" w:cs="Times New Roman"/>
          <w:bCs/>
          <w:color w:val="000000" w:themeColor="text1"/>
          <w:sz w:val="24"/>
          <w:szCs w:val="24"/>
        </w:rPr>
        <w:t> includes information about:</w:t>
      </w:r>
    </w:p>
    <w:p w:rsidR="00F66D73" w:rsidRPr="00F66D73" w:rsidRDefault="00F66D73" w:rsidP="00923CEF">
      <w:pPr>
        <w:numPr>
          <w:ilvl w:val="0"/>
          <w:numId w:val="6"/>
        </w:numPr>
        <w:spacing w:before="120" w:after="120" w:line="259" w:lineRule="auto"/>
        <w:rPr>
          <w:rFonts w:ascii="Calibri" w:eastAsia="Calibri" w:hAnsi="Calibri" w:cs="Times New Roman"/>
          <w:bCs/>
          <w:color w:val="000000" w:themeColor="text1"/>
          <w:sz w:val="24"/>
          <w:szCs w:val="24"/>
        </w:rPr>
      </w:pPr>
      <w:r w:rsidRPr="00F66D73">
        <w:rPr>
          <w:rFonts w:ascii="Calibri" w:eastAsia="Calibri" w:hAnsi="Calibri" w:cs="Times New Roman"/>
          <w:bCs/>
          <w:color w:val="000000" w:themeColor="text1"/>
          <w:sz w:val="24"/>
          <w:szCs w:val="24"/>
        </w:rPr>
        <w:t xml:space="preserve">Five things to know about safe deposit boxes and home safes for protecting valuables. Among the tips: bank safe deposit boxes are good choices to store originals of key documents, such as birth certificates and property deeds, but probably not the right choice if quick access is a must. Also, people are better off stashing their cash in a bank deposit account, like a savings account or certificate of deposit, </w:t>
      </w:r>
      <w:proofErr w:type="gramStart"/>
      <w:r w:rsidRPr="00F66D73">
        <w:rPr>
          <w:rFonts w:ascii="Calibri" w:eastAsia="Calibri" w:hAnsi="Calibri" w:cs="Times New Roman"/>
          <w:bCs/>
          <w:color w:val="000000" w:themeColor="text1"/>
          <w:sz w:val="24"/>
          <w:szCs w:val="24"/>
        </w:rPr>
        <w:t>than</w:t>
      </w:r>
      <w:proofErr w:type="gramEnd"/>
      <w:r w:rsidRPr="00F66D73">
        <w:rPr>
          <w:rFonts w:ascii="Calibri" w:eastAsia="Calibri" w:hAnsi="Calibri" w:cs="Times New Roman"/>
          <w:bCs/>
          <w:color w:val="000000" w:themeColor="text1"/>
          <w:sz w:val="24"/>
          <w:szCs w:val="24"/>
        </w:rPr>
        <w:t xml:space="preserve"> in a home safe or a safe deposit box, where the money isn</w:t>
      </w:r>
      <w:r w:rsidR="00923CEF">
        <w:rPr>
          <w:rFonts w:ascii="Calibri" w:eastAsia="Calibri" w:hAnsi="Calibri" w:cs="Times New Roman"/>
          <w:bCs/>
          <w:color w:val="000000" w:themeColor="text1"/>
          <w:sz w:val="24"/>
          <w:szCs w:val="24"/>
        </w:rPr>
        <w:t>’</w:t>
      </w:r>
      <w:r w:rsidRPr="00F66D73">
        <w:rPr>
          <w:rFonts w:ascii="Calibri" w:eastAsia="Calibri" w:hAnsi="Calibri" w:cs="Times New Roman"/>
          <w:bCs/>
          <w:color w:val="000000" w:themeColor="text1"/>
          <w:sz w:val="24"/>
          <w:szCs w:val="24"/>
        </w:rPr>
        <w:t>t protected by FDIC insurance.</w:t>
      </w:r>
    </w:p>
    <w:p w:rsidR="00F66D73" w:rsidRPr="00F66D73" w:rsidRDefault="00F66D73" w:rsidP="00923CEF">
      <w:pPr>
        <w:numPr>
          <w:ilvl w:val="0"/>
          <w:numId w:val="7"/>
        </w:numPr>
        <w:spacing w:before="120" w:after="120" w:line="259" w:lineRule="auto"/>
        <w:rPr>
          <w:rFonts w:ascii="Calibri" w:eastAsia="Calibri" w:hAnsi="Calibri" w:cs="Times New Roman"/>
          <w:bCs/>
          <w:color w:val="000000" w:themeColor="text1"/>
          <w:sz w:val="24"/>
          <w:szCs w:val="24"/>
        </w:rPr>
      </w:pPr>
      <w:r w:rsidRPr="00F66D73">
        <w:rPr>
          <w:rFonts w:ascii="Calibri" w:eastAsia="Calibri" w:hAnsi="Calibri" w:cs="Times New Roman"/>
          <w:bCs/>
          <w:color w:val="000000" w:themeColor="text1"/>
          <w:sz w:val="24"/>
          <w:szCs w:val="24"/>
        </w:rPr>
        <w:t xml:space="preserve">Guarding against criminals who place hidden recording devices at or near automated teller machines (ATMs) and retailer checkout registers. These devices can </w:t>
      </w:r>
      <w:r w:rsidR="00923CEF">
        <w:rPr>
          <w:rFonts w:ascii="Calibri" w:eastAsia="Calibri" w:hAnsi="Calibri" w:cs="Times New Roman"/>
          <w:bCs/>
          <w:color w:val="000000" w:themeColor="text1"/>
          <w:sz w:val="24"/>
          <w:szCs w:val="24"/>
        </w:rPr>
        <w:t>“</w:t>
      </w:r>
      <w:r w:rsidRPr="00F66D73">
        <w:rPr>
          <w:rFonts w:ascii="Calibri" w:eastAsia="Calibri" w:hAnsi="Calibri" w:cs="Times New Roman"/>
          <w:bCs/>
          <w:color w:val="000000" w:themeColor="text1"/>
          <w:sz w:val="24"/>
          <w:szCs w:val="24"/>
        </w:rPr>
        <w:t>skim</w:t>
      </w:r>
      <w:r w:rsidR="00923CEF">
        <w:rPr>
          <w:rFonts w:ascii="Calibri" w:eastAsia="Calibri" w:hAnsi="Calibri" w:cs="Times New Roman"/>
          <w:bCs/>
          <w:color w:val="000000" w:themeColor="text1"/>
          <w:sz w:val="24"/>
          <w:szCs w:val="24"/>
        </w:rPr>
        <w:t>”</w:t>
      </w:r>
      <w:r w:rsidRPr="00F66D73">
        <w:rPr>
          <w:rFonts w:ascii="Calibri" w:eastAsia="Calibri" w:hAnsi="Calibri" w:cs="Times New Roman"/>
          <w:bCs/>
          <w:color w:val="000000" w:themeColor="text1"/>
          <w:sz w:val="24"/>
          <w:szCs w:val="24"/>
        </w:rPr>
        <w:t xml:space="preserve"> (steal) credit and debit card account numbers and personal identification numbers (PINs) to commit fraud or theft.</w:t>
      </w:r>
    </w:p>
    <w:p w:rsidR="00F66D73" w:rsidRPr="00F66D73" w:rsidRDefault="00F66D73" w:rsidP="00923CEF">
      <w:pPr>
        <w:numPr>
          <w:ilvl w:val="0"/>
          <w:numId w:val="8"/>
        </w:numPr>
        <w:spacing w:before="120" w:after="120" w:line="259" w:lineRule="auto"/>
        <w:rPr>
          <w:rFonts w:ascii="Calibri" w:eastAsia="Calibri" w:hAnsi="Calibri" w:cs="Times New Roman"/>
          <w:bCs/>
          <w:color w:val="000000" w:themeColor="text1"/>
          <w:sz w:val="24"/>
          <w:szCs w:val="24"/>
        </w:rPr>
      </w:pPr>
      <w:r w:rsidRPr="00F66D73">
        <w:rPr>
          <w:rFonts w:ascii="Calibri" w:eastAsia="Calibri" w:hAnsi="Calibri" w:cs="Times New Roman"/>
          <w:bCs/>
          <w:color w:val="000000" w:themeColor="text1"/>
          <w:sz w:val="24"/>
          <w:szCs w:val="24"/>
        </w:rPr>
        <w:t>How new standards for credit reporting may help consumers improve credit scores and qualify for loans under more favorable terms. One example is that unpaid medical debts will not appear as negative information on a consumer</w:t>
      </w:r>
      <w:r w:rsidR="00923CEF">
        <w:rPr>
          <w:rFonts w:ascii="Calibri" w:eastAsia="Calibri" w:hAnsi="Calibri" w:cs="Times New Roman"/>
          <w:bCs/>
          <w:color w:val="000000" w:themeColor="text1"/>
          <w:sz w:val="24"/>
          <w:szCs w:val="24"/>
        </w:rPr>
        <w:t>’</w:t>
      </w:r>
      <w:r w:rsidRPr="00F66D73">
        <w:rPr>
          <w:rFonts w:ascii="Calibri" w:eastAsia="Calibri" w:hAnsi="Calibri" w:cs="Times New Roman"/>
          <w:bCs/>
          <w:color w:val="000000" w:themeColor="text1"/>
          <w:sz w:val="24"/>
          <w:szCs w:val="24"/>
        </w:rPr>
        <w:t>s credit report until those debts are at least 180 days past due.</w:t>
      </w:r>
    </w:p>
    <w:p w:rsidR="00F66D73" w:rsidRPr="00F66D73" w:rsidRDefault="00F66D73" w:rsidP="00923CEF">
      <w:pPr>
        <w:spacing w:before="120" w:after="120" w:line="259" w:lineRule="auto"/>
        <w:rPr>
          <w:rFonts w:ascii="Calibri" w:eastAsia="Calibri" w:hAnsi="Calibri" w:cs="Times New Roman"/>
          <w:bCs/>
          <w:color w:val="000000" w:themeColor="text1"/>
          <w:sz w:val="24"/>
          <w:szCs w:val="24"/>
        </w:rPr>
      </w:pPr>
      <w:r w:rsidRPr="00F66D73">
        <w:rPr>
          <w:rFonts w:ascii="Calibri" w:eastAsia="Calibri" w:hAnsi="Calibri" w:cs="Times New Roman"/>
          <w:bCs/>
          <w:color w:val="000000" w:themeColor="text1"/>
          <w:sz w:val="24"/>
          <w:szCs w:val="24"/>
        </w:rPr>
        <w:t>This edition of the newsletter also provides information about the increasing use of mobile phones for banking transactions and to pay for just about anything from anywhere. Another article discusses how appraisals, which are often required when consumers apply for a mortgage to buy or refinance a home, can help borrowers as well as lenders.</w:t>
      </w:r>
    </w:p>
    <w:p w:rsidR="00F66D73" w:rsidRPr="00F66D73" w:rsidRDefault="00F66D73" w:rsidP="00923CEF">
      <w:pPr>
        <w:spacing w:before="120" w:after="120" w:line="259" w:lineRule="auto"/>
        <w:rPr>
          <w:rFonts w:ascii="Calibri" w:eastAsia="Calibri" w:hAnsi="Calibri" w:cs="Times New Roman"/>
          <w:bCs/>
          <w:color w:val="000000" w:themeColor="text1"/>
          <w:sz w:val="24"/>
          <w:szCs w:val="24"/>
        </w:rPr>
      </w:pPr>
      <w:r w:rsidRPr="00F66D73">
        <w:rPr>
          <w:rFonts w:ascii="Calibri" w:eastAsia="Calibri" w:hAnsi="Calibri" w:cs="Times New Roman"/>
          <w:bCs/>
          <w:color w:val="000000" w:themeColor="text1"/>
          <w:sz w:val="24"/>
          <w:szCs w:val="24"/>
        </w:rPr>
        <w:t>The newsletter also notes that the FDIC is celebrating National Consumer Protection Week (March 4-10, 2018) by posting questions and answers on different banking topics during the week, plus additional consumer tips and information for reference year-round, at </w:t>
      </w:r>
      <w:hyperlink r:id="rId33" w:history="1">
        <w:r w:rsidRPr="00F66D73">
          <w:rPr>
            <w:rStyle w:val="Hyperlink"/>
            <w:rFonts w:ascii="Calibri" w:eastAsia="Calibri" w:hAnsi="Calibri"/>
            <w:bCs/>
            <w:sz w:val="24"/>
            <w:szCs w:val="24"/>
          </w:rPr>
          <w:t>www.fdic.gov/ncpw</w:t>
        </w:r>
      </w:hyperlink>
      <w:r w:rsidRPr="00F66D73">
        <w:rPr>
          <w:rFonts w:ascii="Calibri" w:eastAsia="Calibri" w:hAnsi="Calibri" w:cs="Times New Roman"/>
          <w:bCs/>
          <w:color w:val="000000" w:themeColor="text1"/>
          <w:sz w:val="24"/>
          <w:szCs w:val="24"/>
        </w:rPr>
        <w:t>.</w:t>
      </w:r>
    </w:p>
    <w:p w:rsidR="00F66D73" w:rsidRPr="00F66D73" w:rsidRDefault="00F66D73" w:rsidP="00923CEF">
      <w:pPr>
        <w:spacing w:before="120" w:after="120" w:line="259" w:lineRule="auto"/>
        <w:rPr>
          <w:rFonts w:ascii="Calibri" w:eastAsia="Calibri" w:hAnsi="Calibri" w:cs="Times New Roman"/>
          <w:bCs/>
          <w:color w:val="000000" w:themeColor="text1"/>
          <w:sz w:val="24"/>
          <w:szCs w:val="24"/>
        </w:rPr>
      </w:pPr>
      <w:r w:rsidRPr="00F66D73">
        <w:rPr>
          <w:rFonts w:ascii="Calibri" w:eastAsia="Calibri" w:hAnsi="Calibri" w:cs="Times New Roman"/>
          <w:bCs/>
          <w:color w:val="000000" w:themeColor="text1"/>
          <w:sz w:val="24"/>
          <w:szCs w:val="24"/>
        </w:rPr>
        <w:t>The Winter 2018 </w:t>
      </w:r>
      <w:r w:rsidRPr="00F66D73">
        <w:rPr>
          <w:rFonts w:ascii="Calibri" w:eastAsia="Calibri" w:hAnsi="Calibri" w:cs="Times New Roman"/>
          <w:bCs/>
          <w:iCs/>
          <w:color w:val="000000" w:themeColor="text1"/>
          <w:sz w:val="24"/>
          <w:szCs w:val="24"/>
        </w:rPr>
        <w:t>FDIC Consumer News</w:t>
      </w:r>
      <w:r w:rsidRPr="00F66D73">
        <w:rPr>
          <w:rFonts w:ascii="Calibri" w:eastAsia="Calibri" w:hAnsi="Calibri" w:cs="Times New Roman"/>
          <w:bCs/>
          <w:color w:val="000000" w:themeColor="text1"/>
          <w:sz w:val="24"/>
          <w:szCs w:val="24"/>
        </w:rPr>
        <w:t> can be read or printed by visiting </w:t>
      </w:r>
      <w:hyperlink r:id="rId34" w:history="1">
        <w:r w:rsidRPr="00F66D73">
          <w:rPr>
            <w:rStyle w:val="Hyperlink"/>
            <w:rFonts w:ascii="Calibri" w:eastAsia="Calibri" w:hAnsi="Calibri"/>
            <w:bCs/>
            <w:sz w:val="24"/>
            <w:szCs w:val="24"/>
          </w:rPr>
          <w:t>www.fdic.gov/consumers/consumer/news/cnwin18</w:t>
        </w:r>
      </w:hyperlink>
      <w:r w:rsidRPr="00F66D73">
        <w:rPr>
          <w:rFonts w:ascii="Calibri" w:eastAsia="Calibri" w:hAnsi="Calibri" w:cs="Times New Roman"/>
          <w:bCs/>
          <w:color w:val="000000" w:themeColor="text1"/>
          <w:sz w:val="24"/>
          <w:szCs w:val="24"/>
        </w:rPr>
        <w:t>, with e-reader and portable audio (MP3) versions forthcoming. Additionally, in the coming weeks, a Spanish-language version will be posted at </w:t>
      </w:r>
      <w:hyperlink r:id="rId35" w:history="1">
        <w:r w:rsidRPr="00F66D73">
          <w:rPr>
            <w:rStyle w:val="Hyperlink"/>
            <w:rFonts w:ascii="Calibri" w:eastAsia="Calibri" w:hAnsi="Calibri"/>
            <w:bCs/>
            <w:sz w:val="24"/>
            <w:szCs w:val="24"/>
          </w:rPr>
          <w:t>www.fdic.gov/quicklinks/spanish.html</w:t>
        </w:r>
      </w:hyperlink>
      <w:r w:rsidRPr="00F66D73">
        <w:rPr>
          <w:rFonts w:ascii="Calibri" w:eastAsia="Calibri" w:hAnsi="Calibri" w:cs="Times New Roman"/>
          <w:bCs/>
          <w:color w:val="000000" w:themeColor="text1"/>
          <w:sz w:val="24"/>
          <w:szCs w:val="24"/>
        </w:rPr>
        <w:t>.</w:t>
      </w:r>
    </w:p>
    <w:p w:rsidR="00F66D73" w:rsidRPr="00F66D73" w:rsidRDefault="00F66D73" w:rsidP="00923CEF">
      <w:pPr>
        <w:spacing w:before="120" w:after="120" w:line="259" w:lineRule="auto"/>
        <w:rPr>
          <w:rFonts w:ascii="Calibri" w:eastAsia="Calibri" w:hAnsi="Calibri" w:cs="Times New Roman"/>
          <w:bCs/>
          <w:color w:val="000000" w:themeColor="text1"/>
          <w:sz w:val="24"/>
          <w:szCs w:val="24"/>
        </w:rPr>
      </w:pPr>
      <w:r w:rsidRPr="00F66D73">
        <w:rPr>
          <w:rFonts w:ascii="Calibri" w:eastAsia="Calibri" w:hAnsi="Calibri" w:cs="Times New Roman"/>
          <w:bCs/>
          <w:color w:val="000000" w:themeColor="text1"/>
          <w:sz w:val="24"/>
          <w:szCs w:val="24"/>
        </w:rPr>
        <w:t>About </w:t>
      </w:r>
      <w:r w:rsidRPr="00F66D73">
        <w:rPr>
          <w:rFonts w:ascii="Calibri" w:eastAsia="Calibri" w:hAnsi="Calibri" w:cs="Times New Roman"/>
          <w:bCs/>
          <w:iCs/>
          <w:color w:val="000000" w:themeColor="text1"/>
          <w:sz w:val="24"/>
          <w:szCs w:val="24"/>
        </w:rPr>
        <w:t>FDIC Consumer News</w:t>
      </w:r>
    </w:p>
    <w:p w:rsidR="00F66D73" w:rsidRPr="00F66D73" w:rsidRDefault="00F66D73" w:rsidP="00923CEF">
      <w:pPr>
        <w:spacing w:before="120" w:after="120" w:line="259" w:lineRule="auto"/>
        <w:rPr>
          <w:rFonts w:ascii="Calibri" w:eastAsia="Calibri" w:hAnsi="Calibri" w:cs="Times New Roman"/>
          <w:bCs/>
          <w:color w:val="000000" w:themeColor="text1"/>
          <w:sz w:val="24"/>
          <w:szCs w:val="24"/>
        </w:rPr>
      </w:pPr>
      <w:r w:rsidRPr="00F66D73">
        <w:rPr>
          <w:rFonts w:ascii="Calibri" w:eastAsia="Calibri" w:hAnsi="Calibri" w:cs="Times New Roman"/>
          <w:bCs/>
          <w:color w:val="000000" w:themeColor="text1"/>
          <w:sz w:val="24"/>
          <w:szCs w:val="24"/>
        </w:rPr>
        <w:t>The FDIC encourages financial institutions, government agencies, consumer organizations, educators, the media, and anyone else to help make the tips and information in </w:t>
      </w:r>
      <w:r w:rsidRPr="00F66D73">
        <w:rPr>
          <w:rFonts w:ascii="Calibri" w:eastAsia="Calibri" w:hAnsi="Calibri" w:cs="Times New Roman"/>
          <w:bCs/>
          <w:iCs/>
          <w:color w:val="000000" w:themeColor="text1"/>
          <w:sz w:val="24"/>
          <w:szCs w:val="24"/>
        </w:rPr>
        <w:t>FDIC Consumer News</w:t>
      </w:r>
      <w:r w:rsidRPr="00F66D73">
        <w:rPr>
          <w:rFonts w:ascii="Calibri" w:eastAsia="Calibri" w:hAnsi="Calibri" w:cs="Times New Roman"/>
          <w:bCs/>
          <w:color w:val="000000" w:themeColor="text1"/>
          <w:sz w:val="24"/>
          <w:szCs w:val="24"/>
        </w:rPr>
        <w:t> widely available. The publication may be reprinted in whole or in part without permission. Please credit </w:t>
      </w:r>
      <w:r w:rsidRPr="00F66D73">
        <w:rPr>
          <w:rFonts w:ascii="Calibri" w:eastAsia="Calibri" w:hAnsi="Calibri" w:cs="Times New Roman"/>
          <w:bCs/>
          <w:iCs/>
          <w:color w:val="000000" w:themeColor="text1"/>
          <w:sz w:val="24"/>
          <w:szCs w:val="24"/>
        </w:rPr>
        <w:t>FDIC Consumer News</w:t>
      </w:r>
      <w:r w:rsidRPr="00F66D73">
        <w:rPr>
          <w:rFonts w:ascii="Calibri" w:eastAsia="Calibri" w:hAnsi="Calibri" w:cs="Times New Roman"/>
          <w:bCs/>
          <w:color w:val="000000" w:themeColor="text1"/>
          <w:sz w:val="24"/>
          <w:szCs w:val="24"/>
        </w:rPr>
        <w:t>. Organizations also may link to or mention the FDIC website.</w:t>
      </w:r>
    </w:p>
    <w:p w:rsidR="005A6433" w:rsidRPr="005A6433" w:rsidRDefault="005A6433" w:rsidP="00923CEF">
      <w:pPr>
        <w:spacing w:before="120" w:after="120" w:line="259" w:lineRule="auto"/>
        <w:rPr>
          <w:rFonts w:ascii="Calibri" w:eastAsia="Calibri" w:hAnsi="Calibri" w:cs="Times New Roman"/>
          <w:b/>
          <w:bCs/>
          <w:i/>
          <w:color w:val="000000" w:themeColor="text1"/>
          <w:sz w:val="24"/>
          <w:szCs w:val="24"/>
        </w:rPr>
      </w:pPr>
      <w:r w:rsidRPr="005A6433">
        <w:rPr>
          <w:rFonts w:ascii="Calibri" w:eastAsia="Calibri" w:hAnsi="Calibri" w:cs="Times New Roman"/>
          <w:b/>
          <w:bCs/>
          <w:i/>
          <w:color w:val="000000" w:themeColor="text1"/>
          <w:sz w:val="24"/>
          <w:szCs w:val="24"/>
        </w:rPr>
        <w:t xml:space="preserve">Source </w:t>
      </w:r>
      <w:hyperlink r:id="rId36" w:history="1">
        <w:r w:rsidR="00F66D73" w:rsidRPr="00F66D73">
          <w:rPr>
            <w:rStyle w:val="Hyperlink"/>
            <w:rFonts w:ascii="Calibri" w:eastAsia="Calibri" w:hAnsi="Calibri"/>
            <w:b/>
            <w:bCs/>
            <w:i/>
            <w:sz w:val="24"/>
            <w:szCs w:val="24"/>
          </w:rPr>
          <w:t>link</w:t>
        </w:r>
      </w:hyperlink>
      <w:r w:rsidR="00F66D73">
        <w:rPr>
          <w:rFonts w:ascii="Calibri" w:eastAsia="Calibri" w:hAnsi="Calibri" w:cs="Times New Roman"/>
          <w:b/>
          <w:bCs/>
          <w:i/>
          <w:color w:val="000000" w:themeColor="text1"/>
          <w:sz w:val="24"/>
          <w:szCs w:val="24"/>
        </w:rPr>
        <w:t xml:space="preserve">. </w:t>
      </w:r>
    </w:p>
    <w:p w:rsidR="0059023F" w:rsidRPr="0059023F" w:rsidRDefault="0059023F" w:rsidP="00923CEF">
      <w:pPr>
        <w:spacing w:before="120" w:after="120" w:line="259" w:lineRule="auto"/>
        <w:rPr>
          <w:rFonts w:ascii="Calibri" w:eastAsia="Calibri" w:hAnsi="Calibri" w:cs="Times New Roman"/>
          <w:b/>
          <w:bCs/>
          <w:i/>
          <w:color w:val="002060"/>
          <w:sz w:val="24"/>
          <w:szCs w:val="24"/>
        </w:rPr>
      </w:pPr>
      <w:r w:rsidRPr="0059023F">
        <w:rPr>
          <w:rFonts w:ascii="Calibri" w:eastAsia="Calibri" w:hAnsi="Calibri" w:cs="Times New Roman"/>
          <w:b/>
          <w:bCs/>
          <w:i/>
          <w:color w:val="002060"/>
          <w:sz w:val="24"/>
          <w:szCs w:val="24"/>
        </w:rPr>
        <w:t>Comment: Take advantage of this material and use on your website or as part of your consumer outreach.</w:t>
      </w:r>
    </w:p>
    <w:p w:rsidR="005A6433" w:rsidRDefault="005A6433" w:rsidP="00923CEF">
      <w:pPr>
        <w:spacing w:before="120" w:after="120" w:line="259" w:lineRule="auto"/>
        <w:rPr>
          <w:rFonts w:ascii="Calibri" w:eastAsia="Calibri" w:hAnsi="Calibri" w:cs="Times New Roman"/>
          <w:b/>
          <w:bCs/>
          <w:i/>
          <w:color w:val="000000" w:themeColor="text1"/>
          <w:sz w:val="24"/>
          <w:szCs w:val="24"/>
        </w:rPr>
      </w:pPr>
    </w:p>
    <w:p w:rsidR="0071614F" w:rsidRPr="000C7C83" w:rsidRDefault="00F83AE4" w:rsidP="00923CEF">
      <w:pPr>
        <w:spacing w:before="120" w:after="120" w:line="259" w:lineRule="auto"/>
        <w:rPr>
          <w:rFonts w:ascii="Calibri" w:eastAsia="Calibri" w:hAnsi="Calibri" w:cs="Times New Roman"/>
          <w:b/>
          <w:bCs/>
          <w:i/>
          <w:color w:val="000000" w:themeColor="text1"/>
          <w:sz w:val="24"/>
          <w:szCs w:val="24"/>
        </w:rPr>
      </w:pPr>
      <w:r w:rsidRPr="00F83AE4">
        <w:rPr>
          <w:rFonts w:ascii="Calibri" w:eastAsia="Calibri" w:hAnsi="Calibri" w:cs="Times New Roman"/>
          <w:b/>
          <w:bCs/>
          <w:i/>
          <w:color w:val="000000" w:themeColor="text1"/>
          <w:sz w:val="24"/>
          <w:szCs w:val="24"/>
        </w:rPr>
        <w:lastRenderedPageBreak/>
        <w:t>FDIC-Insured Institutions Report Net Income of $25.5 Billion in Fourth Quarter 2017</w:t>
      </w:r>
      <w:r>
        <w:rPr>
          <w:rFonts w:ascii="Calibri" w:eastAsia="Calibri" w:hAnsi="Calibri" w:cs="Times New Roman"/>
          <w:b/>
          <w:bCs/>
          <w:i/>
          <w:color w:val="000000" w:themeColor="text1"/>
          <w:sz w:val="24"/>
          <w:szCs w:val="24"/>
        </w:rPr>
        <w:t xml:space="preserve"> </w:t>
      </w:r>
      <w:r w:rsidR="0071614F"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02</w:t>
      </w:r>
      <w:r w:rsidR="0071614F">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27</w:t>
      </w:r>
      <w:r w:rsidR="0071614F">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2018</w:t>
      </w:r>
      <w:r w:rsidR="0071614F" w:rsidRPr="000C7C83">
        <w:rPr>
          <w:rFonts w:ascii="Calibri" w:eastAsia="Calibri" w:hAnsi="Calibri" w:cs="Times New Roman"/>
          <w:b/>
          <w:bCs/>
          <w:i/>
          <w:color w:val="000000" w:themeColor="text1"/>
          <w:sz w:val="24"/>
          <w:szCs w:val="24"/>
        </w:rPr>
        <w:t>)</w:t>
      </w:r>
    </w:p>
    <w:p w:rsidR="00F83AE4" w:rsidRPr="00923CEF" w:rsidRDefault="00F83AE4" w:rsidP="005B7514">
      <w:pPr>
        <w:pStyle w:val="ListParagraph"/>
        <w:numPr>
          <w:ilvl w:val="0"/>
          <w:numId w:val="16"/>
        </w:numPr>
        <w:spacing w:before="120" w:line="259" w:lineRule="auto"/>
        <w:ind w:left="720"/>
        <w:contextualSpacing w:val="0"/>
        <w:rPr>
          <w:rFonts w:ascii="Calibri" w:eastAsia="Calibri" w:hAnsi="Calibri"/>
          <w:bCs/>
          <w:color w:val="000000"/>
        </w:rPr>
      </w:pPr>
      <w:r w:rsidRPr="00923CEF">
        <w:rPr>
          <w:rFonts w:ascii="Calibri" w:eastAsia="Calibri" w:hAnsi="Calibri"/>
          <w:bCs/>
          <w:color w:val="000000"/>
        </w:rPr>
        <w:t xml:space="preserve">Quarterly Net Income Is 40.9 Percent Lower than a Year Ago Largely Due </w:t>
      </w:r>
      <w:proofErr w:type="gramStart"/>
      <w:r w:rsidRPr="00923CEF">
        <w:rPr>
          <w:rFonts w:ascii="Calibri" w:eastAsia="Calibri" w:hAnsi="Calibri"/>
          <w:bCs/>
          <w:color w:val="000000"/>
        </w:rPr>
        <w:t>To</w:t>
      </w:r>
      <w:proofErr w:type="gramEnd"/>
      <w:r w:rsidRPr="00923CEF">
        <w:rPr>
          <w:rFonts w:ascii="Calibri" w:eastAsia="Calibri" w:hAnsi="Calibri"/>
          <w:bCs/>
          <w:color w:val="000000"/>
        </w:rPr>
        <w:t xml:space="preserve"> One-Time Changes from the New Tax Law</w:t>
      </w:r>
    </w:p>
    <w:p w:rsidR="00F83AE4" w:rsidRPr="00923CEF" w:rsidRDefault="00F83AE4" w:rsidP="005B7514">
      <w:pPr>
        <w:pStyle w:val="ListParagraph"/>
        <w:numPr>
          <w:ilvl w:val="0"/>
          <w:numId w:val="16"/>
        </w:numPr>
        <w:spacing w:line="259" w:lineRule="auto"/>
        <w:ind w:left="720"/>
        <w:contextualSpacing w:val="0"/>
        <w:rPr>
          <w:rFonts w:ascii="Calibri" w:eastAsia="Calibri" w:hAnsi="Calibri"/>
          <w:bCs/>
          <w:color w:val="000000"/>
        </w:rPr>
      </w:pPr>
      <w:r w:rsidRPr="00923CEF">
        <w:rPr>
          <w:rFonts w:ascii="Calibri" w:eastAsia="Calibri" w:hAnsi="Calibri"/>
          <w:bCs/>
          <w:color w:val="000000"/>
        </w:rPr>
        <w:t>Excluding Changes from the New Tax Law, Estimated Quarterly Net Income Would Have Been $42.2 Billion, Down 2.3 Percent from a Year Ago</w:t>
      </w:r>
    </w:p>
    <w:p w:rsidR="00F83AE4" w:rsidRPr="00923CEF" w:rsidRDefault="00F83AE4" w:rsidP="005B7514">
      <w:pPr>
        <w:pStyle w:val="ListParagraph"/>
        <w:numPr>
          <w:ilvl w:val="0"/>
          <w:numId w:val="16"/>
        </w:numPr>
        <w:spacing w:line="259" w:lineRule="auto"/>
        <w:ind w:left="720"/>
        <w:contextualSpacing w:val="0"/>
        <w:rPr>
          <w:rFonts w:ascii="Calibri" w:eastAsia="Calibri" w:hAnsi="Calibri"/>
          <w:bCs/>
          <w:color w:val="000000"/>
        </w:rPr>
      </w:pPr>
      <w:r w:rsidRPr="00923CEF">
        <w:rPr>
          <w:rFonts w:ascii="Calibri" w:eastAsia="Calibri" w:hAnsi="Calibri"/>
          <w:bCs/>
          <w:color w:val="000000"/>
        </w:rPr>
        <w:t>Net Interest Income Rises 8.5 Percent from Fourth Quarter 2016</w:t>
      </w:r>
    </w:p>
    <w:p w:rsidR="00F83AE4" w:rsidRPr="00923CEF" w:rsidRDefault="00F83AE4" w:rsidP="005B7514">
      <w:pPr>
        <w:pStyle w:val="ListParagraph"/>
        <w:numPr>
          <w:ilvl w:val="0"/>
          <w:numId w:val="16"/>
        </w:numPr>
        <w:spacing w:line="259" w:lineRule="auto"/>
        <w:ind w:left="720"/>
        <w:contextualSpacing w:val="0"/>
        <w:rPr>
          <w:rFonts w:ascii="Calibri" w:eastAsia="Calibri" w:hAnsi="Calibri"/>
          <w:bCs/>
          <w:color w:val="000000"/>
        </w:rPr>
      </w:pPr>
      <w:r w:rsidRPr="00923CEF">
        <w:rPr>
          <w:rFonts w:ascii="Calibri" w:eastAsia="Calibri" w:hAnsi="Calibri"/>
          <w:bCs/>
          <w:color w:val="000000"/>
        </w:rPr>
        <w:t>Total Loan and Lease Balances Increase $164.1 Billion During the Fourth Quarter</w:t>
      </w:r>
    </w:p>
    <w:p w:rsidR="00F83AE4" w:rsidRPr="00923CEF" w:rsidRDefault="00923CEF" w:rsidP="005B7514">
      <w:pPr>
        <w:pStyle w:val="ListParagraph"/>
        <w:numPr>
          <w:ilvl w:val="0"/>
          <w:numId w:val="16"/>
        </w:numPr>
        <w:spacing w:after="120" w:line="259" w:lineRule="auto"/>
        <w:ind w:left="720"/>
        <w:contextualSpacing w:val="0"/>
        <w:rPr>
          <w:rFonts w:ascii="Calibri" w:eastAsia="Calibri" w:hAnsi="Calibri"/>
          <w:bCs/>
          <w:color w:val="000000"/>
        </w:rPr>
      </w:pPr>
      <w:r>
        <w:rPr>
          <w:rFonts w:ascii="Calibri" w:eastAsia="Calibri" w:hAnsi="Calibri"/>
          <w:bCs/>
          <w:color w:val="000000"/>
        </w:rPr>
        <w:t>“</w:t>
      </w:r>
      <w:r w:rsidR="00F83AE4" w:rsidRPr="00923CEF">
        <w:rPr>
          <w:rFonts w:ascii="Calibri" w:eastAsia="Calibri" w:hAnsi="Calibri"/>
          <w:bCs/>
          <w:color w:val="000000"/>
        </w:rPr>
        <w:t>Problem Bank List</w:t>
      </w:r>
      <w:r>
        <w:rPr>
          <w:rFonts w:ascii="Calibri" w:eastAsia="Calibri" w:hAnsi="Calibri"/>
          <w:bCs/>
          <w:color w:val="000000"/>
        </w:rPr>
        <w:t>”</w:t>
      </w:r>
      <w:r w:rsidR="00F83AE4" w:rsidRPr="00923CEF">
        <w:rPr>
          <w:rFonts w:ascii="Calibri" w:eastAsia="Calibri" w:hAnsi="Calibri"/>
          <w:bCs/>
          <w:color w:val="000000"/>
        </w:rPr>
        <w:t xml:space="preserve"> Falls Below 100</w:t>
      </w:r>
    </w:p>
    <w:p w:rsidR="00923CEF" w:rsidRDefault="00923CEF" w:rsidP="00923CEF">
      <w:pPr>
        <w:spacing w:before="120" w:after="120" w:line="259"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w:t>
      </w:r>
      <w:r w:rsidR="00F83AE4" w:rsidRPr="00F66D73">
        <w:rPr>
          <w:rFonts w:ascii="Calibri" w:eastAsia="Calibri" w:hAnsi="Calibri" w:cs="Times New Roman"/>
          <w:bCs/>
          <w:color w:val="000000"/>
          <w:sz w:val="24"/>
          <w:szCs w:val="24"/>
        </w:rPr>
        <w:t>Notwithstanding the one-time impact of the new tax law, the overall performance of the industry continued to be positive.</w:t>
      </w:r>
      <w:r>
        <w:rPr>
          <w:rFonts w:ascii="Calibri" w:eastAsia="Calibri" w:hAnsi="Calibri" w:cs="Times New Roman"/>
          <w:bCs/>
          <w:color w:val="000000"/>
          <w:sz w:val="24"/>
          <w:szCs w:val="24"/>
        </w:rPr>
        <w:t>”</w:t>
      </w:r>
      <w:r w:rsidR="00F83AE4" w:rsidRPr="00F66D73">
        <w:rPr>
          <w:rFonts w:ascii="Calibri" w:eastAsia="Calibri" w:hAnsi="Calibri" w:cs="Times New Roman"/>
          <w:bCs/>
          <w:color w:val="000000"/>
          <w:sz w:val="24"/>
          <w:szCs w:val="24"/>
        </w:rPr>
        <w:t> </w:t>
      </w:r>
    </w:p>
    <w:p w:rsidR="00F83AE4" w:rsidRPr="00F66D73" w:rsidRDefault="00F83AE4" w:rsidP="00923CEF">
      <w:pPr>
        <w:spacing w:before="120" w:after="120" w:line="259" w:lineRule="auto"/>
        <w:rPr>
          <w:rFonts w:ascii="Calibri" w:eastAsia="Calibri" w:hAnsi="Calibri" w:cs="Times New Roman"/>
          <w:bCs/>
          <w:color w:val="000000"/>
          <w:sz w:val="24"/>
          <w:szCs w:val="24"/>
        </w:rPr>
      </w:pPr>
      <w:r w:rsidRPr="00F66D73">
        <w:rPr>
          <w:rFonts w:ascii="Calibri" w:eastAsia="Calibri" w:hAnsi="Calibri" w:cs="Times New Roman"/>
          <w:bCs/>
          <w:color w:val="000000"/>
          <w:sz w:val="24"/>
          <w:szCs w:val="24"/>
        </w:rPr>
        <w:t>-- </w:t>
      </w:r>
      <w:r w:rsidRPr="00F66D73">
        <w:rPr>
          <w:rFonts w:ascii="Calibri" w:eastAsia="Calibri" w:hAnsi="Calibri" w:cs="Times New Roman"/>
          <w:bCs/>
          <w:i/>
          <w:iCs/>
          <w:color w:val="000000"/>
          <w:sz w:val="24"/>
          <w:szCs w:val="24"/>
        </w:rPr>
        <w:t>FDIC Chairman Martin J. Gruenberg</w:t>
      </w:r>
      <w:r w:rsidRPr="00F66D73">
        <w:rPr>
          <w:rFonts w:ascii="Calibri" w:eastAsia="Calibri" w:hAnsi="Calibri" w:cs="Times New Roman"/>
          <w:bCs/>
          <w:color w:val="000000"/>
          <w:sz w:val="24"/>
          <w:szCs w:val="24"/>
        </w:rPr>
        <w:t> </w:t>
      </w:r>
    </w:p>
    <w:p w:rsidR="0071614F" w:rsidRPr="000C7C83" w:rsidRDefault="0071614F"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37" w:history="1">
        <w:r w:rsidR="00F83AE4" w:rsidRPr="00F83AE4">
          <w:rPr>
            <w:rStyle w:val="Hyperlink"/>
            <w:rFonts w:ascii="Calibri" w:eastAsia="Calibri" w:hAnsi="Calibri"/>
            <w:b/>
            <w:bCs/>
            <w:sz w:val="24"/>
            <w:szCs w:val="24"/>
          </w:rPr>
          <w:t>link</w:t>
        </w:r>
      </w:hyperlink>
      <w:r w:rsidR="00F83AE4">
        <w:rPr>
          <w:rFonts w:ascii="Calibri" w:eastAsia="Calibri" w:hAnsi="Calibri" w:cs="Times New Roman"/>
          <w:b/>
          <w:bCs/>
          <w:color w:val="000000"/>
          <w:sz w:val="24"/>
          <w:szCs w:val="24"/>
        </w:rPr>
        <w:t xml:space="preserve">. </w:t>
      </w:r>
    </w:p>
    <w:p w:rsidR="0071614F" w:rsidRPr="0071614F" w:rsidRDefault="0071614F" w:rsidP="00923CEF">
      <w:pPr>
        <w:spacing w:before="120" w:after="120" w:line="259" w:lineRule="auto"/>
        <w:rPr>
          <w:rFonts w:ascii="Calibri" w:eastAsia="Calibri" w:hAnsi="Calibri" w:cs="Times New Roman"/>
          <w:b/>
          <w:i/>
          <w:color w:val="002060"/>
          <w:sz w:val="24"/>
          <w:szCs w:val="24"/>
        </w:rPr>
      </w:pPr>
      <w:r w:rsidRPr="00323369">
        <w:rPr>
          <w:rFonts w:ascii="Calibri" w:eastAsia="Calibri" w:hAnsi="Calibri" w:cs="Times New Roman"/>
          <w:b/>
          <w:bCs/>
          <w:i/>
          <w:color w:val="002060"/>
          <w:sz w:val="24"/>
          <w:szCs w:val="24"/>
        </w:rPr>
        <w:t>Comment:</w:t>
      </w:r>
      <w:r w:rsidRPr="00323369">
        <w:rPr>
          <w:rFonts w:ascii="Calibri" w:eastAsia="Calibri" w:hAnsi="Calibri" w:cs="Times New Roman"/>
          <w:b/>
          <w:i/>
          <w:color w:val="002060"/>
          <w:sz w:val="24"/>
          <w:szCs w:val="24"/>
        </w:rPr>
        <w:t xml:space="preserve"> </w:t>
      </w:r>
      <w:r w:rsidR="00022079" w:rsidRPr="00022079">
        <w:rPr>
          <w:rFonts w:ascii="Calibri" w:eastAsia="Calibri" w:hAnsi="Calibri" w:cs="Times New Roman"/>
          <w:b/>
          <w:i/>
          <w:color w:val="002060"/>
          <w:sz w:val="24"/>
          <w:szCs w:val="24"/>
        </w:rPr>
        <w:t>FDIC-insured banks and savings institutions earned $25.5 billion in the fourth quarter, down 40.9 percent from the industry</w:t>
      </w:r>
      <w:r w:rsidR="00923CEF">
        <w:rPr>
          <w:rFonts w:ascii="Calibri" w:eastAsia="Calibri" w:hAnsi="Calibri" w:cs="Times New Roman"/>
          <w:b/>
          <w:i/>
          <w:color w:val="002060"/>
          <w:sz w:val="24"/>
          <w:szCs w:val="24"/>
        </w:rPr>
        <w:t>’</w:t>
      </w:r>
      <w:r w:rsidR="00022079" w:rsidRPr="00022079">
        <w:rPr>
          <w:rFonts w:ascii="Calibri" w:eastAsia="Calibri" w:hAnsi="Calibri" w:cs="Times New Roman"/>
          <w:b/>
          <w:i/>
          <w:color w:val="002060"/>
          <w:sz w:val="24"/>
          <w:szCs w:val="24"/>
        </w:rPr>
        <w:t>s earnings a year before, the FDIC </w:t>
      </w:r>
      <w:r w:rsidR="00022079" w:rsidRPr="00022079">
        <w:rPr>
          <w:rFonts w:ascii="Calibri" w:eastAsia="Calibri" w:hAnsi="Calibri" w:cs="Times New Roman"/>
          <w:b/>
          <w:color w:val="002060"/>
          <w:sz w:val="24"/>
          <w:szCs w:val="24"/>
        </w:rPr>
        <w:t>said</w:t>
      </w:r>
      <w:r w:rsidR="00022079" w:rsidRPr="00022079">
        <w:rPr>
          <w:rFonts w:ascii="Calibri" w:eastAsia="Calibri" w:hAnsi="Calibri" w:cs="Times New Roman"/>
          <w:b/>
          <w:i/>
          <w:color w:val="002060"/>
          <w:sz w:val="24"/>
          <w:szCs w:val="24"/>
        </w:rPr>
        <w:t> today. The year-over-year decline was attributed to one-time effects of the new tax reform law, including the re-evaluation of deferred tax assets and repatriation of income from foreign subsidiaries, the agency said</w:t>
      </w:r>
      <w:r w:rsidR="00022079">
        <w:rPr>
          <w:rFonts w:ascii="Calibri" w:eastAsia="Calibri" w:hAnsi="Calibri" w:cs="Times New Roman"/>
          <w:b/>
          <w:i/>
          <w:color w:val="002060"/>
          <w:sz w:val="24"/>
          <w:szCs w:val="24"/>
        </w:rPr>
        <w:t>.</w:t>
      </w:r>
    </w:p>
    <w:p w:rsidR="00A52376" w:rsidRPr="00436AD8" w:rsidRDefault="00A52376" w:rsidP="00923CEF">
      <w:pPr>
        <w:pStyle w:val="CCTOCHeading"/>
        <w:spacing w:line="259" w:lineRule="auto"/>
        <w:rPr>
          <w:rFonts w:asciiTheme="minorHAnsi" w:hAnsiTheme="minorHAnsi" w:cstheme="minorHAnsi"/>
        </w:rPr>
      </w:pPr>
      <w:bookmarkStart w:id="20" w:name="_Toc509412613"/>
      <w:bookmarkEnd w:id="17"/>
      <w:r w:rsidRPr="00436AD8">
        <w:rPr>
          <w:rFonts w:asciiTheme="minorHAnsi" w:hAnsiTheme="minorHAnsi" w:cstheme="minorHAnsi"/>
        </w:rPr>
        <w:t>OCC actions</w:t>
      </w:r>
      <w:bookmarkStart w:id="21" w:name="_Hlk484674731"/>
      <w:bookmarkStart w:id="22" w:name="_Toc409519096"/>
      <w:bookmarkEnd w:id="18"/>
      <w:bookmarkEnd w:id="19"/>
      <w:r w:rsidR="006E7501" w:rsidRPr="006E7501">
        <w:rPr>
          <w:rFonts w:asciiTheme="minorHAnsi" w:eastAsiaTheme="minorHAnsi" w:hAnsiTheme="minorHAnsi" w:cstheme="minorHAnsi"/>
          <w:b w:val="0"/>
          <w:color w:val="auto"/>
          <w:sz w:val="22"/>
          <w:szCs w:val="22"/>
        </w:rPr>
        <w:t xml:space="preserve"> </w:t>
      </w:r>
      <w:r w:rsidR="006E7501" w:rsidRPr="006E7501">
        <w:rPr>
          <w:rFonts w:asciiTheme="minorHAnsi" w:hAnsiTheme="minorHAnsi" w:cstheme="minorHAnsi"/>
        </w:rPr>
        <w:t>and news</w:t>
      </w:r>
      <w:bookmarkEnd w:id="20"/>
    </w:p>
    <w:p w:rsidR="00C05A90" w:rsidRPr="000C7C83" w:rsidRDefault="00C05A90" w:rsidP="00923CEF">
      <w:pPr>
        <w:spacing w:before="120" w:after="120" w:line="259" w:lineRule="auto"/>
        <w:rPr>
          <w:rFonts w:ascii="Calibri" w:eastAsia="Calibri" w:hAnsi="Calibri" w:cs="Times New Roman"/>
          <w:b/>
          <w:bCs/>
          <w:i/>
          <w:color w:val="000000" w:themeColor="text1"/>
          <w:sz w:val="24"/>
          <w:szCs w:val="24"/>
        </w:rPr>
      </w:pPr>
      <w:bookmarkStart w:id="23" w:name="_Hlk508803472"/>
      <w:bookmarkStart w:id="24" w:name="_Toc409519097"/>
      <w:bookmarkStart w:id="25" w:name="_Toc504138796"/>
      <w:bookmarkStart w:id="26" w:name="_Hlk495582916"/>
      <w:bookmarkEnd w:id="21"/>
      <w:bookmarkEnd w:id="22"/>
      <w:r w:rsidRPr="00C05A90">
        <w:rPr>
          <w:rFonts w:ascii="Calibri" w:eastAsia="Calibri" w:hAnsi="Calibri" w:cs="Times New Roman"/>
          <w:b/>
          <w:bCs/>
          <w:i/>
          <w:color w:val="000000" w:themeColor="text1"/>
          <w:sz w:val="24"/>
          <w:szCs w:val="24"/>
        </w:rPr>
        <w:t>OCC Reports Mortgage Performance Unchanged</w:t>
      </w:r>
      <w:r w:rsidRPr="000C7C83">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03.15.2018</w:t>
      </w:r>
      <w:r w:rsidRPr="000C7C83">
        <w:rPr>
          <w:rFonts w:ascii="Calibri" w:eastAsia="Calibri" w:hAnsi="Calibri" w:cs="Times New Roman"/>
          <w:b/>
          <w:bCs/>
          <w:i/>
          <w:color w:val="000000" w:themeColor="text1"/>
          <w:sz w:val="24"/>
          <w:szCs w:val="24"/>
        </w:rPr>
        <w:t>)</w:t>
      </w:r>
    </w:p>
    <w:p w:rsidR="00C05A90" w:rsidRPr="00C05A90" w:rsidRDefault="00C05A90" w:rsidP="00923CEF">
      <w:pPr>
        <w:spacing w:before="120" w:after="120" w:line="259" w:lineRule="auto"/>
        <w:rPr>
          <w:rFonts w:ascii="Calibri" w:eastAsia="Calibri" w:hAnsi="Calibri"/>
          <w:bCs/>
          <w:sz w:val="24"/>
          <w:szCs w:val="24"/>
        </w:rPr>
      </w:pPr>
      <w:r w:rsidRPr="00C05A90">
        <w:rPr>
          <w:rFonts w:ascii="Calibri" w:eastAsia="Calibri" w:hAnsi="Calibri"/>
          <w:bCs/>
          <w:sz w:val="24"/>
          <w:szCs w:val="24"/>
        </w:rPr>
        <w:t>WASHINGTON—Performance of first-lien mortgages remained largely unchanged during the fourth quarter of 2017 compared with a year earlier, according to the Office of the Comptroller of the Currency</w:t>
      </w:r>
      <w:r w:rsidR="00923CEF">
        <w:rPr>
          <w:rFonts w:ascii="Calibri" w:eastAsia="Calibri" w:hAnsi="Calibri"/>
          <w:bCs/>
          <w:sz w:val="24"/>
          <w:szCs w:val="24"/>
        </w:rPr>
        <w:t>’</w:t>
      </w:r>
      <w:r w:rsidRPr="00C05A90">
        <w:rPr>
          <w:rFonts w:ascii="Calibri" w:eastAsia="Calibri" w:hAnsi="Calibri"/>
          <w:bCs/>
          <w:sz w:val="24"/>
          <w:szCs w:val="24"/>
        </w:rPr>
        <w:t>s (OCC) quarterly report on mortgages.</w:t>
      </w:r>
    </w:p>
    <w:p w:rsidR="00C05A90" w:rsidRPr="00C05A90" w:rsidRDefault="00C05A90" w:rsidP="00923CEF">
      <w:pPr>
        <w:spacing w:before="120" w:after="120" w:line="259" w:lineRule="auto"/>
        <w:rPr>
          <w:rFonts w:ascii="Calibri" w:eastAsia="Calibri" w:hAnsi="Calibri" w:cs="Times New Roman"/>
          <w:bCs/>
          <w:color w:val="000000"/>
          <w:sz w:val="24"/>
          <w:szCs w:val="24"/>
        </w:rPr>
      </w:pPr>
      <w:r w:rsidRPr="00C05A90">
        <w:rPr>
          <w:rFonts w:ascii="Calibri" w:eastAsia="Calibri" w:hAnsi="Calibri" w:cs="Times New Roman"/>
          <w:bCs/>
          <w:color w:val="000000"/>
          <w:sz w:val="24"/>
          <w:szCs w:val="24"/>
        </w:rPr>
        <w:t xml:space="preserve">The </w:t>
      </w:r>
      <w:r w:rsidRPr="00C05A90">
        <w:rPr>
          <w:rFonts w:ascii="Calibri" w:eastAsia="Calibri" w:hAnsi="Calibri" w:cs="Times New Roman"/>
          <w:bCs/>
          <w:i/>
          <w:iCs/>
          <w:color w:val="000000"/>
          <w:sz w:val="24"/>
          <w:szCs w:val="24"/>
        </w:rPr>
        <w:t>OCC Mortgage Metrics Report, Fourth Quarter 2017,</w:t>
      </w:r>
      <w:r w:rsidRPr="00C05A90">
        <w:rPr>
          <w:rFonts w:ascii="Calibri" w:eastAsia="Calibri" w:hAnsi="Calibri" w:cs="Times New Roman"/>
          <w:bCs/>
          <w:color w:val="000000"/>
          <w:sz w:val="24"/>
          <w:szCs w:val="24"/>
        </w:rPr>
        <w:t xml:space="preserve"> showed 94.5 percent of mortgages included in the report were current and performing at the end of the quarter, compared to 94.7 percent a year earlier.</w:t>
      </w:r>
    </w:p>
    <w:p w:rsidR="00C05A90" w:rsidRPr="00C05A90" w:rsidRDefault="00C05A90" w:rsidP="00923CEF">
      <w:pPr>
        <w:spacing w:before="120" w:after="120" w:line="259" w:lineRule="auto"/>
        <w:rPr>
          <w:rFonts w:ascii="Calibri" w:eastAsia="Calibri" w:hAnsi="Calibri" w:cs="Times New Roman"/>
          <w:bCs/>
          <w:color w:val="000000"/>
          <w:sz w:val="24"/>
          <w:szCs w:val="24"/>
        </w:rPr>
      </w:pPr>
      <w:r w:rsidRPr="00C05A90">
        <w:rPr>
          <w:rFonts w:ascii="Calibri" w:eastAsia="Calibri" w:hAnsi="Calibri" w:cs="Times New Roman"/>
          <w:bCs/>
          <w:color w:val="000000"/>
          <w:sz w:val="24"/>
          <w:szCs w:val="24"/>
        </w:rPr>
        <w:t>The report also showed that foreclosure activity has increased from the previous quarter. Reporting servicers initiated 34,519 new foreclosures during the fourth quarter of 2017, a 0.7 percent increase from the previous quarter and a 24.1 percent decrease from a year earlier. Servicers implemented 21,866 mortgage modifications in the fourth quarter of 2017. Seventy-nine percent of the modifications reduced borrowers</w:t>
      </w:r>
      <w:r w:rsidR="00923CEF">
        <w:rPr>
          <w:rFonts w:ascii="Calibri" w:eastAsia="Calibri" w:hAnsi="Calibri" w:cs="Times New Roman"/>
          <w:bCs/>
          <w:color w:val="000000"/>
          <w:sz w:val="24"/>
          <w:szCs w:val="24"/>
        </w:rPr>
        <w:t>’</w:t>
      </w:r>
      <w:r w:rsidRPr="00C05A90">
        <w:rPr>
          <w:rFonts w:ascii="Calibri" w:eastAsia="Calibri" w:hAnsi="Calibri" w:cs="Times New Roman"/>
          <w:bCs/>
          <w:color w:val="000000"/>
          <w:sz w:val="24"/>
          <w:szCs w:val="24"/>
        </w:rPr>
        <w:t xml:space="preserve"> monthly payments.</w:t>
      </w:r>
    </w:p>
    <w:p w:rsidR="00C05A90" w:rsidRPr="00C05A90" w:rsidRDefault="00C05A90" w:rsidP="00923CEF">
      <w:pPr>
        <w:spacing w:before="120" w:after="120" w:line="259" w:lineRule="auto"/>
        <w:rPr>
          <w:rFonts w:ascii="Calibri" w:eastAsia="Calibri" w:hAnsi="Calibri" w:cs="Times New Roman"/>
          <w:bCs/>
          <w:color w:val="000000"/>
          <w:sz w:val="24"/>
          <w:szCs w:val="24"/>
        </w:rPr>
      </w:pPr>
      <w:r w:rsidRPr="00C05A90">
        <w:rPr>
          <w:rFonts w:ascii="Calibri" w:eastAsia="Calibri" w:hAnsi="Calibri" w:cs="Times New Roman"/>
          <w:bCs/>
          <w:color w:val="000000"/>
          <w:sz w:val="24"/>
          <w:szCs w:val="24"/>
        </w:rPr>
        <w:t>The first-lien mortgages included in the OCC</w:t>
      </w:r>
      <w:r w:rsidR="00923CEF">
        <w:rPr>
          <w:rFonts w:ascii="Calibri" w:eastAsia="Calibri" w:hAnsi="Calibri" w:cs="Times New Roman"/>
          <w:bCs/>
          <w:color w:val="000000"/>
          <w:sz w:val="24"/>
          <w:szCs w:val="24"/>
        </w:rPr>
        <w:t>’</w:t>
      </w:r>
      <w:r w:rsidRPr="00C05A90">
        <w:rPr>
          <w:rFonts w:ascii="Calibri" w:eastAsia="Calibri" w:hAnsi="Calibri" w:cs="Times New Roman"/>
          <w:bCs/>
          <w:color w:val="000000"/>
          <w:sz w:val="24"/>
          <w:szCs w:val="24"/>
        </w:rPr>
        <w:t>s quarterly report comprise 33 percent of all residential mortgages outstanding in the United States or approximately 18.1 million loans totaling $3.32 trillion in principal balances. This report provides information on mortgage performance through December 31, 2017, and it can be downloaded from the OCC</w:t>
      </w:r>
      <w:r w:rsidR="00923CEF">
        <w:rPr>
          <w:rFonts w:ascii="Calibri" w:eastAsia="Calibri" w:hAnsi="Calibri" w:cs="Times New Roman"/>
          <w:bCs/>
          <w:color w:val="000000"/>
          <w:sz w:val="24"/>
          <w:szCs w:val="24"/>
        </w:rPr>
        <w:t>’</w:t>
      </w:r>
      <w:r w:rsidRPr="00C05A90">
        <w:rPr>
          <w:rFonts w:ascii="Calibri" w:eastAsia="Calibri" w:hAnsi="Calibri" w:cs="Times New Roman"/>
          <w:bCs/>
          <w:color w:val="000000"/>
          <w:sz w:val="24"/>
          <w:szCs w:val="24"/>
        </w:rPr>
        <w:t xml:space="preserve">s website, </w:t>
      </w:r>
      <w:hyperlink r:id="rId38" w:history="1">
        <w:r w:rsidRPr="00C05A90">
          <w:rPr>
            <w:rStyle w:val="Hyperlink"/>
            <w:rFonts w:ascii="Calibri" w:eastAsia="Calibri" w:hAnsi="Calibri"/>
            <w:sz w:val="24"/>
            <w:szCs w:val="24"/>
          </w:rPr>
          <w:t>www.occ.gov</w:t>
        </w:r>
      </w:hyperlink>
      <w:r w:rsidRPr="00C05A90">
        <w:rPr>
          <w:rFonts w:ascii="Calibri" w:eastAsia="Calibri" w:hAnsi="Calibri" w:cs="Times New Roman"/>
          <w:bCs/>
          <w:color w:val="000000"/>
          <w:sz w:val="24"/>
          <w:szCs w:val="24"/>
        </w:rPr>
        <w:t>.</w:t>
      </w:r>
    </w:p>
    <w:p w:rsidR="00C05A90" w:rsidRPr="00C05A90" w:rsidRDefault="00C05A90" w:rsidP="00923CEF">
      <w:pPr>
        <w:spacing w:before="120" w:after="120" w:line="259" w:lineRule="auto"/>
        <w:rPr>
          <w:rFonts w:ascii="Calibri" w:eastAsia="Calibri" w:hAnsi="Calibri" w:cs="Times New Roman"/>
          <w:b/>
          <w:bCs/>
          <w:color w:val="000000"/>
          <w:sz w:val="24"/>
          <w:szCs w:val="24"/>
        </w:rPr>
      </w:pPr>
      <w:r w:rsidRPr="00C05A90">
        <w:rPr>
          <w:rFonts w:ascii="Calibri" w:eastAsia="Calibri" w:hAnsi="Calibri" w:cs="Times New Roman"/>
          <w:b/>
          <w:bCs/>
          <w:color w:val="000000"/>
          <w:sz w:val="24"/>
          <w:szCs w:val="24"/>
        </w:rPr>
        <w:t>Related Link</w:t>
      </w:r>
    </w:p>
    <w:p w:rsidR="00C05A90" w:rsidRPr="003A39F4" w:rsidRDefault="00CC73A1" w:rsidP="00923CEF">
      <w:pPr>
        <w:numPr>
          <w:ilvl w:val="0"/>
          <w:numId w:val="9"/>
        </w:numPr>
        <w:spacing w:before="120" w:after="120" w:line="259" w:lineRule="auto"/>
        <w:rPr>
          <w:rFonts w:ascii="Calibri" w:eastAsia="Calibri" w:hAnsi="Calibri" w:cs="Times New Roman"/>
          <w:bCs/>
          <w:color w:val="000000"/>
          <w:sz w:val="24"/>
          <w:szCs w:val="24"/>
        </w:rPr>
      </w:pPr>
      <w:hyperlink r:id="rId39" w:tgtFrame="_blank" w:history="1">
        <w:r w:rsidR="00C05A90" w:rsidRPr="00C05A90">
          <w:rPr>
            <w:rStyle w:val="Hyperlink"/>
            <w:rFonts w:ascii="Calibri" w:eastAsia="Calibri" w:hAnsi="Calibri"/>
            <w:sz w:val="24"/>
            <w:szCs w:val="24"/>
          </w:rPr>
          <w:t>OCC Mortgage Metrics Report, Fourth Quarter 2017</w:t>
        </w:r>
      </w:hyperlink>
      <w:r w:rsidR="00C05A90" w:rsidRPr="00C05A90">
        <w:rPr>
          <w:rFonts w:ascii="Calibri" w:eastAsia="Calibri" w:hAnsi="Calibri" w:cs="Times New Roman"/>
          <w:bCs/>
          <w:color w:val="000000"/>
          <w:sz w:val="24"/>
          <w:szCs w:val="24"/>
        </w:rPr>
        <w:t xml:space="preserve"> (PDF)</w:t>
      </w:r>
    </w:p>
    <w:p w:rsidR="00C05A90" w:rsidRPr="000C7C83" w:rsidRDefault="00C05A90"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40" w:history="1">
        <w:r w:rsidRPr="00C05A90">
          <w:rPr>
            <w:rStyle w:val="Hyperlink"/>
            <w:rFonts w:ascii="Calibri" w:eastAsia="Calibri" w:hAnsi="Calibri"/>
            <w:sz w:val="24"/>
            <w:szCs w:val="24"/>
          </w:rPr>
          <w:t>link</w:t>
        </w:r>
      </w:hyperlink>
      <w:r>
        <w:rPr>
          <w:rFonts w:ascii="Calibri" w:eastAsia="Calibri" w:hAnsi="Calibri" w:cs="Times New Roman"/>
          <w:b/>
          <w:bCs/>
          <w:color w:val="000000"/>
          <w:sz w:val="24"/>
          <w:szCs w:val="24"/>
        </w:rPr>
        <w:t xml:space="preserve">. </w:t>
      </w:r>
    </w:p>
    <w:p w:rsidR="00C05A90" w:rsidRPr="0071614F" w:rsidRDefault="00C05A90" w:rsidP="00923CEF">
      <w:pPr>
        <w:spacing w:before="120" w:after="120" w:line="259" w:lineRule="auto"/>
        <w:rPr>
          <w:rFonts w:ascii="Calibri" w:eastAsia="Calibri" w:hAnsi="Calibri" w:cs="Times New Roman"/>
          <w:b/>
          <w:i/>
          <w:color w:val="002060"/>
          <w:sz w:val="24"/>
          <w:szCs w:val="24"/>
        </w:rPr>
      </w:pPr>
      <w:r w:rsidRPr="00323369">
        <w:rPr>
          <w:rFonts w:ascii="Calibri" w:eastAsia="Calibri" w:hAnsi="Calibri" w:cs="Times New Roman"/>
          <w:b/>
          <w:bCs/>
          <w:i/>
          <w:color w:val="002060"/>
          <w:sz w:val="24"/>
          <w:szCs w:val="24"/>
        </w:rPr>
        <w:lastRenderedPageBreak/>
        <w:t>Comment:</w:t>
      </w:r>
      <w:r w:rsidRPr="00323369">
        <w:rPr>
          <w:rFonts w:ascii="Calibri" w:eastAsia="Calibri" w:hAnsi="Calibri" w:cs="Times New Roman"/>
          <w:b/>
          <w:i/>
          <w:color w:val="002060"/>
          <w:sz w:val="24"/>
          <w:szCs w:val="24"/>
        </w:rPr>
        <w:t xml:space="preserve"> </w:t>
      </w:r>
      <w:r w:rsidR="00022079" w:rsidRPr="00022079">
        <w:rPr>
          <w:rFonts w:ascii="Calibri" w:eastAsia="Calibri" w:hAnsi="Calibri" w:cs="Times New Roman"/>
          <w:b/>
          <w:i/>
          <w:color w:val="002060"/>
          <w:sz w:val="24"/>
          <w:szCs w:val="24"/>
        </w:rPr>
        <w:t>Mortgage servicers initiated 45,495 new foreclosures in the fourth quarter – a decrease of 5.1% compared with the third quarter and a decrease of 28.2% compared with the fourth quarter of 2015, according to the OCC</w:t>
      </w:r>
      <w:r w:rsidR="00923CEF">
        <w:rPr>
          <w:rFonts w:ascii="Calibri" w:eastAsia="Calibri" w:hAnsi="Calibri" w:cs="Times New Roman"/>
          <w:b/>
          <w:i/>
          <w:color w:val="002060"/>
          <w:sz w:val="24"/>
          <w:szCs w:val="24"/>
        </w:rPr>
        <w:t>’</w:t>
      </w:r>
      <w:r w:rsidR="00022079" w:rsidRPr="00022079">
        <w:rPr>
          <w:rFonts w:ascii="Calibri" w:eastAsia="Calibri" w:hAnsi="Calibri" w:cs="Times New Roman"/>
          <w:b/>
          <w:i/>
          <w:color w:val="002060"/>
          <w:sz w:val="24"/>
          <w:szCs w:val="24"/>
        </w:rPr>
        <w:t>s data.</w:t>
      </w:r>
    </w:p>
    <w:p w:rsidR="00C05A90" w:rsidRDefault="00C05A90" w:rsidP="00923CEF">
      <w:pPr>
        <w:spacing w:before="120" w:after="120" w:line="259" w:lineRule="auto"/>
        <w:rPr>
          <w:rFonts w:ascii="Calibri" w:eastAsia="Calibri" w:hAnsi="Calibri" w:cs="Times New Roman"/>
          <w:b/>
          <w:bCs/>
          <w:i/>
          <w:color w:val="000000" w:themeColor="text1"/>
          <w:sz w:val="24"/>
          <w:szCs w:val="24"/>
        </w:rPr>
      </w:pPr>
    </w:p>
    <w:p w:rsidR="00850248" w:rsidRPr="000C7C83" w:rsidRDefault="00130132" w:rsidP="005B7514">
      <w:pPr>
        <w:keepNext/>
        <w:spacing w:before="120" w:after="120" w:line="259" w:lineRule="auto"/>
        <w:rPr>
          <w:rFonts w:ascii="Calibri" w:eastAsia="Calibri" w:hAnsi="Calibri" w:cs="Times New Roman"/>
          <w:b/>
          <w:bCs/>
          <w:i/>
          <w:color w:val="000000" w:themeColor="text1"/>
          <w:sz w:val="24"/>
          <w:szCs w:val="24"/>
        </w:rPr>
      </w:pPr>
      <w:r w:rsidRPr="00130132">
        <w:rPr>
          <w:rFonts w:ascii="Calibri" w:eastAsia="Calibri" w:hAnsi="Calibri" w:cs="Times New Roman"/>
          <w:b/>
          <w:bCs/>
          <w:i/>
          <w:color w:val="000000" w:themeColor="text1"/>
          <w:sz w:val="24"/>
          <w:szCs w:val="24"/>
        </w:rPr>
        <w:t xml:space="preserve">OCC Hosts Risk Governance and Credit Risk Workshops in Florida </w:t>
      </w:r>
      <w:r w:rsidR="00850248"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03.15</w:t>
      </w:r>
      <w:r w:rsidR="00850248">
        <w:rPr>
          <w:rFonts w:ascii="Calibri" w:eastAsia="Calibri" w:hAnsi="Calibri" w:cs="Times New Roman"/>
          <w:b/>
          <w:bCs/>
          <w:i/>
          <w:color w:val="000000" w:themeColor="text1"/>
          <w:sz w:val="24"/>
          <w:szCs w:val="24"/>
        </w:rPr>
        <w:t>.2018</w:t>
      </w:r>
      <w:r w:rsidR="00850248" w:rsidRPr="000C7C83">
        <w:rPr>
          <w:rFonts w:ascii="Calibri" w:eastAsia="Calibri" w:hAnsi="Calibri" w:cs="Times New Roman"/>
          <w:b/>
          <w:bCs/>
          <w:i/>
          <w:color w:val="000000" w:themeColor="text1"/>
          <w:sz w:val="24"/>
          <w:szCs w:val="24"/>
        </w:rPr>
        <w:t>)</w:t>
      </w:r>
    </w:p>
    <w:p w:rsidR="00130132" w:rsidRPr="00130132" w:rsidRDefault="00130132" w:rsidP="00923CEF">
      <w:pPr>
        <w:tabs>
          <w:tab w:val="left" w:pos="1476"/>
        </w:tabs>
        <w:spacing w:before="120" w:after="120" w:line="259" w:lineRule="auto"/>
        <w:rPr>
          <w:rFonts w:ascii="Calibri" w:eastAsia="Calibri" w:hAnsi="Calibri" w:cs="Times New Roman"/>
          <w:bCs/>
          <w:color w:val="000000"/>
          <w:sz w:val="24"/>
          <w:szCs w:val="24"/>
        </w:rPr>
      </w:pPr>
      <w:r w:rsidRPr="00130132">
        <w:rPr>
          <w:rFonts w:ascii="Calibri" w:eastAsia="Calibri" w:hAnsi="Calibri" w:cs="Times New Roman"/>
          <w:bCs/>
          <w:color w:val="000000"/>
          <w:sz w:val="24"/>
          <w:szCs w:val="24"/>
        </w:rPr>
        <w:t>WASHINGTON — The Office of the Comptroller of the Currency (OCC) will host two workshops at the Holiday Inn Fort Walton Beach, Fort Walton Beach, Fla., April 24-25, for directors of national community banks and federal savings associations supervised by the OCC.</w:t>
      </w:r>
    </w:p>
    <w:p w:rsidR="00130132" w:rsidRPr="00130132" w:rsidRDefault="00130132" w:rsidP="00923CEF">
      <w:pPr>
        <w:tabs>
          <w:tab w:val="left" w:pos="1476"/>
        </w:tabs>
        <w:spacing w:before="120" w:after="120" w:line="259" w:lineRule="auto"/>
        <w:rPr>
          <w:rFonts w:ascii="Calibri" w:eastAsia="Calibri" w:hAnsi="Calibri" w:cs="Times New Roman"/>
          <w:bCs/>
          <w:color w:val="000000"/>
          <w:sz w:val="24"/>
          <w:szCs w:val="24"/>
        </w:rPr>
      </w:pPr>
      <w:r w:rsidRPr="00130132">
        <w:rPr>
          <w:rFonts w:ascii="Calibri" w:eastAsia="Calibri" w:hAnsi="Calibri" w:cs="Times New Roman"/>
          <w:bCs/>
          <w:color w:val="000000"/>
          <w:sz w:val="24"/>
          <w:szCs w:val="24"/>
        </w:rPr>
        <w:t>The Risk Governance workshop on April 24 combines lectures, discussion, and exercises to provide practical information for directors to effectively measure and manage risks. The workshop also focuses on the OCC</w:t>
      </w:r>
      <w:r w:rsidR="00923CEF">
        <w:rPr>
          <w:rFonts w:ascii="Calibri" w:eastAsia="Calibri" w:hAnsi="Calibri" w:cs="Times New Roman"/>
          <w:bCs/>
          <w:color w:val="000000"/>
          <w:sz w:val="24"/>
          <w:szCs w:val="24"/>
        </w:rPr>
        <w:t>’</w:t>
      </w:r>
      <w:r w:rsidRPr="00130132">
        <w:rPr>
          <w:rFonts w:ascii="Calibri" w:eastAsia="Calibri" w:hAnsi="Calibri" w:cs="Times New Roman"/>
          <w:bCs/>
          <w:color w:val="000000"/>
          <w:sz w:val="24"/>
          <w:szCs w:val="24"/>
        </w:rPr>
        <w:t>s approach to risk-based supervision and major risks in the financial industry.</w:t>
      </w:r>
    </w:p>
    <w:p w:rsidR="00130132" w:rsidRPr="00130132" w:rsidRDefault="00130132" w:rsidP="00923CEF">
      <w:pPr>
        <w:tabs>
          <w:tab w:val="left" w:pos="1476"/>
        </w:tabs>
        <w:spacing w:before="120" w:after="120" w:line="259" w:lineRule="auto"/>
        <w:rPr>
          <w:rFonts w:ascii="Calibri" w:eastAsia="Calibri" w:hAnsi="Calibri" w:cs="Times New Roman"/>
          <w:bCs/>
          <w:color w:val="000000"/>
          <w:sz w:val="24"/>
          <w:szCs w:val="24"/>
        </w:rPr>
      </w:pPr>
      <w:r w:rsidRPr="00130132">
        <w:rPr>
          <w:rFonts w:ascii="Calibri" w:eastAsia="Calibri" w:hAnsi="Calibri" w:cs="Times New Roman"/>
          <w:bCs/>
          <w:color w:val="000000"/>
          <w:sz w:val="24"/>
          <w:szCs w:val="24"/>
        </w:rPr>
        <w:t>The Credit Risk workshop on April 25 focuses on credit risk within the loan portfolio, such as identifying trends and recognizing problems. The workshop also covers the roles of the board and management, how to stay informed of changes in credit risk, and how to effect change.</w:t>
      </w:r>
    </w:p>
    <w:p w:rsidR="00130132" w:rsidRPr="00130132" w:rsidRDefault="00130132" w:rsidP="00923CEF">
      <w:pPr>
        <w:tabs>
          <w:tab w:val="left" w:pos="1476"/>
        </w:tabs>
        <w:spacing w:before="120" w:after="120" w:line="259" w:lineRule="auto"/>
        <w:rPr>
          <w:rFonts w:ascii="Calibri" w:eastAsia="Calibri" w:hAnsi="Calibri" w:cs="Times New Roman"/>
          <w:bCs/>
          <w:color w:val="000000"/>
          <w:sz w:val="24"/>
          <w:szCs w:val="24"/>
        </w:rPr>
      </w:pPr>
      <w:r w:rsidRPr="00130132">
        <w:rPr>
          <w:rFonts w:ascii="Calibri" w:eastAsia="Calibri" w:hAnsi="Calibri" w:cs="Times New Roman"/>
          <w:bCs/>
          <w:color w:val="000000"/>
          <w:sz w:val="24"/>
          <w:szCs w:val="24"/>
        </w:rPr>
        <w:t>The workshop fee is $99 and open to directors of national community banks and federal savings associations supervised by the OCC. Participants receive course materials, and assorted supervisory publications. The workshop is limited to the first 35 registrants.</w:t>
      </w:r>
    </w:p>
    <w:p w:rsidR="00130132" w:rsidRPr="00130132" w:rsidRDefault="00130132" w:rsidP="00923CEF">
      <w:pPr>
        <w:tabs>
          <w:tab w:val="left" w:pos="1476"/>
        </w:tabs>
        <w:spacing w:before="120" w:after="120" w:line="259" w:lineRule="auto"/>
        <w:rPr>
          <w:rFonts w:ascii="Calibri" w:eastAsia="Calibri" w:hAnsi="Calibri" w:cs="Times New Roman"/>
          <w:bCs/>
          <w:color w:val="000000"/>
          <w:sz w:val="24"/>
          <w:szCs w:val="24"/>
        </w:rPr>
      </w:pPr>
      <w:r w:rsidRPr="00130132">
        <w:rPr>
          <w:rFonts w:ascii="Calibri" w:eastAsia="Calibri" w:hAnsi="Calibri" w:cs="Times New Roman"/>
          <w:bCs/>
          <w:color w:val="000000"/>
          <w:sz w:val="24"/>
          <w:szCs w:val="24"/>
        </w:rPr>
        <w:t xml:space="preserve">The workshops are taught by experienced OCC staff and are two of the 25 offered nationwide to enhance and expand the skills of national community bank and federal savings association directors. To register for this workshop, visit </w:t>
      </w:r>
      <w:hyperlink r:id="rId41" w:history="1">
        <w:r w:rsidRPr="00130132">
          <w:rPr>
            <w:rStyle w:val="Hyperlink"/>
            <w:rFonts w:ascii="Calibri" w:eastAsia="Calibri" w:hAnsi="Calibri"/>
            <w:sz w:val="24"/>
            <w:szCs w:val="24"/>
          </w:rPr>
          <w:t>www.occ.gov/occworkshops</w:t>
        </w:r>
      </w:hyperlink>
      <w:r w:rsidRPr="00130132">
        <w:rPr>
          <w:rFonts w:ascii="Calibri" w:eastAsia="Calibri" w:hAnsi="Calibri" w:cs="Times New Roman"/>
          <w:bCs/>
          <w:color w:val="000000"/>
          <w:sz w:val="24"/>
          <w:szCs w:val="24"/>
        </w:rPr>
        <w:t>.</w:t>
      </w:r>
    </w:p>
    <w:p w:rsidR="00850248" w:rsidRPr="000C7C83" w:rsidRDefault="00850248" w:rsidP="00923CEF">
      <w:pPr>
        <w:tabs>
          <w:tab w:val="left" w:pos="1476"/>
        </w:tabs>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42" w:history="1">
        <w:r w:rsidRPr="00130132">
          <w:rPr>
            <w:rStyle w:val="Hyperlink"/>
            <w:rFonts w:ascii="Calibri" w:eastAsia="Calibri" w:hAnsi="Calibri"/>
            <w:sz w:val="24"/>
            <w:szCs w:val="24"/>
          </w:rPr>
          <w:t>link</w:t>
        </w:r>
      </w:hyperlink>
      <w:r>
        <w:rPr>
          <w:rFonts w:ascii="Calibri" w:eastAsia="Calibri" w:hAnsi="Calibri" w:cs="Times New Roman"/>
          <w:b/>
          <w:bCs/>
          <w:color w:val="000000"/>
          <w:sz w:val="24"/>
          <w:szCs w:val="24"/>
        </w:rPr>
        <w:t xml:space="preserve">. </w:t>
      </w:r>
    </w:p>
    <w:p w:rsidR="00850248" w:rsidRPr="0071614F" w:rsidRDefault="00850248" w:rsidP="00923CEF">
      <w:pPr>
        <w:spacing w:before="120" w:after="120" w:line="259" w:lineRule="auto"/>
        <w:rPr>
          <w:rFonts w:ascii="Calibri" w:eastAsia="Calibri" w:hAnsi="Calibri" w:cs="Times New Roman"/>
          <w:b/>
          <w:i/>
          <w:color w:val="002060"/>
          <w:sz w:val="24"/>
          <w:szCs w:val="24"/>
        </w:rPr>
      </w:pPr>
      <w:r w:rsidRPr="00323369">
        <w:rPr>
          <w:rFonts w:ascii="Calibri" w:eastAsia="Calibri" w:hAnsi="Calibri" w:cs="Times New Roman"/>
          <w:b/>
          <w:bCs/>
          <w:i/>
          <w:color w:val="002060"/>
          <w:sz w:val="24"/>
          <w:szCs w:val="24"/>
        </w:rPr>
        <w:t>Comment:</w:t>
      </w:r>
      <w:r w:rsidRPr="00323369">
        <w:rPr>
          <w:rFonts w:ascii="Calibri" w:eastAsia="Calibri" w:hAnsi="Calibri" w:cs="Times New Roman"/>
          <w:b/>
          <w:i/>
          <w:color w:val="002060"/>
          <w:sz w:val="24"/>
          <w:szCs w:val="24"/>
        </w:rPr>
        <w:t xml:space="preserve"> </w:t>
      </w:r>
      <w:r w:rsidR="001B2A9B">
        <w:rPr>
          <w:rFonts w:ascii="Calibri" w:eastAsia="Calibri" w:hAnsi="Calibri" w:cs="Times New Roman"/>
          <w:b/>
          <w:i/>
          <w:color w:val="002060"/>
          <w:sz w:val="24"/>
          <w:szCs w:val="24"/>
        </w:rPr>
        <w:t>The OCC</w:t>
      </w:r>
      <w:r w:rsidR="00923CEF">
        <w:rPr>
          <w:rFonts w:ascii="Calibri" w:eastAsia="Calibri" w:hAnsi="Calibri" w:cs="Times New Roman"/>
          <w:b/>
          <w:i/>
          <w:color w:val="002060"/>
          <w:sz w:val="24"/>
          <w:szCs w:val="24"/>
        </w:rPr>
        <w:t>’</w:t>
      </w:r>
      <w:r w:rsidR="001B2A9B">
        <w:rPr>
          <w:rFonts w:ascii="Calibri" w:eastAsia="Calibri" w:hAnsi="Calibri" w:cs="Times New Roman"/>
          <w:b/>
          <w:i/>
          <w:color w:val="002060"/>
          <w:sz w:val="24"/>
          <w:szCs w:val="24"/>
        </w:rPr>
        <w:t xml:space="preserve">s </w:t>
      </w:r>
      <w:hyperlink r:id="rId43" w:history="1">
        <w:r w:rsidR="001B2A9B" w:rsidRPr="001B2A9B">
          <w:rPr>
            <w:rStyle w:val="Hyperlink"/>
            <w:rFonts w:ascii="Calibri" w:eastAsia="Calibri" w:hAnsi="Calibri"/>
            <w:sz w:val="24"/>
            <w:szCs w:val="24"/>
          </w:rPr>
          <w:t>Detecting Red Flags in Board Reports – A Guide for Directors</w:t>
        </w:r>
      </w:hyperlink>
      <w:r w:rsidR="001B2A9B">
        <w:rPr>
          <w:rFonts w:ascii="Calibri" w:eastAsia="Calibri" w:hAnsi="Calibri" w:cs="Times New Roman"/>
          <w:b/>
          <w:i/>
          <w:color w:val="002060"/>
          <w:sz w:val="24"/>
          <w:szCs w:val="24"/>
        </w:rPr>
        <w:t xml:space="preserve"> is an excellent primer for anyone wanting to learn more about credit risk management and how agencies identify risk.</w:t>
      </w:r>
    </w:p>
    <w:p w:rsidR="00850248" w:rsidRDefault="00850248" w:rsidP="00923CEF">
      <w:pPr>
        <w:spacing w:before="120" w:after="120" w:line="259" w:lineRule="auto"/>
        <w:rPr>
          <w:rFonts w:ascii="Calibri" w:eastAsia="Calibri" w:hAnsi="Calibri" w:cs="Times New Roman"/>
          <w:b/>
          <w:bCs/>
          <w:i/>
          <w:color w:val="000000" w:themeColor="text1"/>
          <w:sz w:val="24"/>
          <w:szCs w:val="24"/>
        </w:rPr>
      </w:pPr>
    </w:p>
    <w:p w:rsidR="0071614F" w:rsidRPr="000C7C83" w:rsidRDefault="00E90F6B" w:rsidP="00923CEF">
      <w:pPr>
        <w:spacing w:before="120" w:after="120" w:line="259" w:lineRule="auto"/>
        <w:rPr>
          <w:rFonts w:ascii="Calibri" w:eastAsia="Calibri" w:hAnsi="Calibri" w:cs="Times New Roman"/>
          <w:b/>
          <w:bCs/>
          <w:i/>
          <w:color w:val="000000" w:themeColor="text1"/>
          <w:sz w:val="24"/>
          <w:szCs w:val="24"/>
        </w:rPr>
      </w:pPr>
      <w:r w:rsidRPr="00E90F6B">
        <w:rPr>
          <w:rFonts w:ascii="Calibri" w:eastAsia="Calibri" w:hAnsi="Calibri" w:cs="Times New Roman"/>
          <w:b/>
          <w:bCs/>
          <w:i/>
          <w:color w:val="000000" w:themeColor="text1"/>
          <w:sz w:val="24"/>
          <w:szCs w:val="24"/>
        </w:rPr>
        <w:t>OCC Hosts Compliance and Operational Risk Workshops in Indianapolis</w:t>
      </w:r>
      <w:r>
        <w:rPr>
          <w:rFonts w:ascii="Calibri" w:eastAsia="Calibri" w:hAnsi="Calibri" w:cs="Times New Roman"/>
          <w:b/>
          <w:bCs/>
          <w:i/>
          <w:color w:val="000000" w:themeColor="text1"/>
          <w:sz w:val="24"/>
          <w:szCs w:val="24"/>
        </w:rPr>
        <w:t xml:space="preserve"> </w:t>
      </w:r>
      <w:r w:rsidR="0071614F"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w:t>
      </w:r>
      <w:r w:rsidR="0071614F">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14</w:t>
      </w:r>
      <w:r w:rsidR="0071614F">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2018</w:t>
      </w:r>
      <w:r w:rsidR="0071614F" w:rsidRPr="000C7C83">
        <w:rPr>
          <w:rFonts w:ascii="Calibri" w:eastAsia="Calibri" w:hAnsi="Calibri" w:cs="Times New Roman"/>
          <w:b/>
          <w:bCs/>
          <w:i/>
          <w:color w:val="000000" w:themeColor="text1"/>
          <w:sz w:val="24"/>
          <w:szCs w:val="24"/>
        </w:rPr>
        <w:t>)</w:t>
      </w:r>
    </w:p>
    <w:p w:rsidR="00E90F6B" w:rsidRPr="00E90F6B" w:rsidRDefault="00E90F6B" w:rsidP="00923CEF">
      <w:pPr>
        <w:spacing w:before="120" w:after="120" w:line="259" w:lineRule="auto"/>
        <w:rPr>
          <w:rFonts w:ascii="Calibri" w:eastAsia="Calibri" w:hAnsi="Calibri" w:cs="Times New Roman"/>
          <w:bCs/>
          <w:color w:val="000000"/>
          <w:sz w:val="24"/>
          <w:szCs w:val="24"/>
        </w:rPr>
      </w:pPr>
      <w:r w:rsidRPr="00E90F6B">
        <w:rPr>
          <w:rFonts w:ascii="Calibri" w:eastAsia="Calibri" w:hAnsi="Calibri" w:cs="Times New Roman"/>
          <w:bCs/>
          <w:color w:val="000000"/>
          <w:sz w:val="24"/>
          <w:szCs w:val="24"/>
        </w:rPr>
        <w:t>WASHINGTON — The Office of the Comptroller of the Currency (OCC) will host two workshops in Indianapolis at the Crowne Plaza Indianapolis Airport, Indianapolis, Ind., April 17 and 18, for directors of national community banks and federal savings associations supervised by the OCC.</w:t>
      </w:r>
    </w:p>
    <w:p w:rsidR="00E90F6B" w:rsidRPr="00E90F6B" w:rsidRDefault="00E90F6B" w:rsidP="00923CEF">
      <w:pPr>
        <w:spacing w:before="120" w:after="120" w:line="259" w:lineRule="auto"/>
        <w:rPr>
          <w:rFonts w:ascii="Calibri" w:eastAsia="Calibri" w:hAnsi="Calibri" w:cs="Times New Roman"/>
          <w:bCs/>
          <w:color w:val="000000"/>
          <w:sz w:val="24"/>
          <w:szCs w:val="24"/>
        </w:rPr>
      </w:pPr>
      <w:r w:rsidRPr="00E90F6B">
        <w:rPr>
          <w:rFonts w:ascii="Calibri" w:eastAsia="Calibri" w:hAnsi="Calibri" w:cs="Times New Roman"/>
          <w:bCs/>
          <w:color w:val="000000"/>
          <w:sz w:val="24"/>
          <w:szCs w:val="24"/>
        </w:rPr>
        <w:t>The Compliance Risk workshop on April 17 combines lectures, discussion, and exercises on the critical elements of an effective compliance risk management program. The workshop also focuses on major compliance risks and critical regulations. Topics of discussion include the Bank Secrecy Act, Flood Disaster Protection Act, Fair Lending, Home Mortgage Disclosure Act, Community Reinvestment Act, and other compliance areas of interest.</w:t>
      </w:r>
    </w:p>
    <w:p w:rsidR="00E90F6B" w:rsidRPr="00E90F6B" w:rsidRDefault="00E90F6B" w:rsidP="00923CEF">
      <w:pPr>
        <w:spacing w:before="120" w:after="120" w:line="259" w:lineRule="auto"/>
        <w:rPr>
          <w:rFonts w:ascii="Calibri" w:eastAsia="Calibri" w:hAnsi="Calibri" w:cs="Times New Roman"/>
          <w:bCs/>
          <w:color w:val="000000"/>
          <w:sz w:val="24"/>
          <w:szCs w:val="24"/>
        </w:rPr>
      </w:pPr>
      <w:r w:rsidRPr="00E90F6B">
        <w:rPr>
          <w:rFonts w:ascii="Calibri" w:eastAsia="Calibri" w:hAnsi="Calibri" w:cs="Times New Roman"/>
          <w:bCs/>
          <w:color w:val="000000"/>
          <w:sz w:val="24"/>
          <w:szCs w:val="24"/>
        </w:rPr>
        <w:t>The Operational Risk workshop on April 18 focuses on the key components of operational risk—people, processes, and systems. The workshop also covers governance, third-party risk, vendor management, internal fraud, and cybersecurity.</w:t>
      </w:r>
    </w:p>
    <w:p w:rsidR="00E90F6B" w:rsidRPr="00E90F6B" w:rsidRDefault="00E90F6B" w:rsidP="00923CEF">
      <w:pPr>
        <w:spacing w:before="120" w:after="120" w:line="259" w:lineRule="auto"/>
        <w:rPr>
          <w:rFonts w:ascii="Calibri" w:eastAsia="Calibri" w:hAnsi="Calibri" w:cs="Times New Roman"/>
          <w:bCs/>
          <w:color w:val="000000"/>
          <w:sz w:val="24"/>
          <w:szCs w:val="24"/>
        </w:rPr>
      </w:pPr>
      <w:r w:rsidRPr="00E90F6B">
        <w:rPr>
          <w:rFonts w:ascii="Calibri" w:eastAsia="Calibri" w:hAnsi="Calibri" w:cs="Times New Roman"/>
          <w:bCs/>
          <w:color w:val="000000"/>
          <w:sz w:val="24"/>
          <w:szCs w:val="24"/>
        </w:rPr>
        <w:t>The workshop fee is $99. Participants receive course materials, and assorted supervisory publications. The workshop is limited to the first 35 registrants.</w:t>
      </w:r>
    </w:p>
    <w:p w:rsidR="00E90F6B" w:rsidRPr="00E90F6B" w:rsidRDefault="00E90F6B" w:rsidP="00923CEF">
      <w:pPr>
        <w:spacing w:before="120" w:after="120" w:line="259" w:lineRule="auto"/>
        <w:rPr>
          <w:rFonts w:ascii="Calibri" w:eastAsia="Calibri" w:hAnsi="Calibri" w:cs="Times New Roman"/>
          <w:bCs/>
          <w:color w:val="000000"/>
          <w:sz w:val="24"/>
          <w:szCs w:val="24"/>
        </w:rPr>
      </w:pPr>
      <w:r w:rsidRPr="00E90F6B">
        <w:rPr>
          <w:rFonts w:ascii="Calibri" w:eastAsia="Calibri" w:hAnsi="Calibri" w:cs="Times New Roman"/>
          <w:bCs/>
          <w:color w:val="000000"/>
          <w:sz w:val="24"/>
          <w:szCs w:val="24"/>
        </w:rPr>
        <w:lastRenderedPageBreak/>
        <w:t>The workshops are taught by experienced OCC staff and are offered nationwide to enhance and expand the skills of national community bank and federal savings association directors. To register for this workshop, visit </w:t>
      </w:r>
      <w:hyperlink r:id="rId44" w:tgtFrame="_blank" w:history="1">
        <w:r w:rsidRPr="00E90F6B">
          <w:rPr>
            <w:rStyle w:val="Hyperlink"/>
            <w:rFonts w:ascii="Calibri" w:eastAsia="Calibri" w:hAnsi="Calibri"/>
            <w:bCs/>
            <w:sz w:val="24"/>
            <w:szCs w:val="24"/>
          </w:rPr>
          <w:t>www.occ.gov/occworkshops</w:t>
        </w:r>
      </w:hyperlink>
      <w:r w:rsidRPr="00E90F6B">
        <w:rPr>
          <w:rFonts w:ascii="Calibri" w:eastAsia="Calibri" w:hAnsi="Calibri" w:cs="Times New Roman"/>
          <w:bCs/>
          <w:color w:val="000000"/>
          <w:sz w:val="24"/>
          <w:szCs w:val="24"/>
        </w:rPr>
        <w:t>.</w:t>
      </w:r>
    </w:p>
    <w:p w:rsidR="0071614F" w:rsidRPr="000C7C83" w:rsidRDefault="0071614F" w:rsidP="00923CEF">
      <w:pPr>
        <w:tabs>
          <w:tab w:val="left" w:pos="1476"/>
        </w:tabs>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45" w:history="1">
        <w:r w:rsidR="00E90F6B" w:rsidRPr="00E90F6B">
          <w:rPr>
            <w:rStyle w:val="Hyperlink"/>
            <w:rFonts w:ascii="Calibri" w:eastAsia="Calibri" w:hAnsi="Calibri"/>
            <w:b/>
            <w:bCs/>
            <w:sz w:val="24"/>
            <w:szCs w:val="24"/>
          </w:rPr>
          <w:t>link</w:t>
        </w:r>
      </w:hyperlink>
      <w:r w:rsidR="00E90F6B">
        <w:rPr>
          <w:rFonts w:ascii="Calibri" w:eastAsia="Calibri" w:hAnsi="Calibri" w:cs="Times New Roman"/>
          <w:b/>
          <w:bCs/>
          <w:color w:val="000000"/>
          <w:sz w:val="24"/>
          <w:szCs w:val="24"/>
        </w:rPr>
        <w:t xml:space="preserve">. </w:t>
      </w:r>
    </w:p>
    <w:p w:rsidR="00FD2B72" w:rsidRPr="00FD2B72" w:rsidRDefault="0071614F" w:rsidP="00923CEF">
      <w:pPr>
        <w:numPr>
          <w:ilvl w:val="0"/>
          <w:numId w:val="12"/>
        </w:numPr>
        <w:spacing w:before="120" w:after="120" w:line="259" w:lineRule="auto"/>
        <w:rPr>
          <w:rFonts w:ascii="Calibri" w:eastAsia="Calibri" w:hAnsi="Calibri" w:cs="Times New Roman"/>
          <w:b/>
          <w:i/>
          <w:color w:val="002060"/>
          <w:sz w:val="24"/>
          <w:szCs w:val="24"/>
        </w:rPr>
      </w:pPr>
      <w:r w:rsidRPr="00323369">
        <w:rPr>
          <w:rFonts w:ascii="Calibri" w:eastAsia="Calibri" w:hAnsi="Calibri" w:cs="Times New Roman"/>
          <w:b/>
          <w:bCs/>
          <w:i/>
          <w:color w:val="002060"/>
          <w:sz w:val="24"/>
          <w:szCs w:val="24"/>
        </w:rPr>
        <w:t>Comment:</w:t>
      </w:r>
      <w:r w:rsidRPr="00323369">
        <w:rPr>
          <w:rFonts w:ascii="Calibri" w:eastAsia="Calibri" w:hAnsi="Calibri" w:cs="Times New Roman"/>
          <w:b/>
          <w:i/>
          <w:color w:val="002060"/>
          <w:sz w:val="24"/>
          <w:szCs w:val="24"/>
        </w:rPr>
        <w:t xml:space="preserve"> </w:t>
      </w:r>
      <w:r w:rsidR="00FD2B72">
        <w:rPr>
          <w:rFonts w:ascii="Calibri" w:eastAsia="Calibri" w:hAnsi="Calibri" w:cs="Times New Roman"/>
          <w:b/>
          <w:i/>
          <w:color w:val="002060"/>
          <w:sz w:val="24"/>
          <w:szCs w:val="24"/>
        </w:rPr>
        <w:t>From the OCC</w:t>
      </w:r>
      <w:r w:rsidR="00923CEF">
        <w:rPr>
          <w:rFonts w:ascii="Calibri" w:eastAsia="Calibri" w:hAnsi="Calibri" w:cs="Times New Roman"/>
          <w:b/>
          <w:i/>
          <w:color w:val="002060"/>
          <w:sz w:val="24"/>
          <w:szCs w:val="24"/>
        </w:rPr>
        <w:t>’</w:t>
      </w:r>
      <w:r w:rsidR="00FD2B72">
        <w:rPr>
          <w:rFonts w:ascii="Calibri" w:eastAsia="Calibri" w:hAnsi="Calibri" w:cs="Times New Roman"/>
          <w:b/>
          <w:i/>
          <w:color w:val="002060"/>
          <w:sz w:val="24"/>
          <w:szCs w:val="24"/>
        </w:rPr>
        <w:t xml:space="preserve">s Semiannual Risk Perspective for Fall 2017 – </w:t>
      </w:r>
      <w:r w:rsidR="00923CEF">
        <w:rPr>
          <w:rFonts w:ascii="Calibri" w:eastAsia="Calibri" w:hAnsi="Calibri" w:cs="Times New Roman"/>
          <w:b/>
          <w:i/>
          <w:color w:val="002060"/>
          <w:sz w:val="24"/>
          <w:szCs w:val="24"/>
        </w:rPr>
        <w:t>‘</w:t>
      </w:r>
      <w:r w:rsidR="00FD2B72" w:rsidRPr="00FD2B72">
        <w:rPr>
          <w:rFonts w:ascii="Calibri" w:eastAsia="Calibri" w:hAnsi="Calibri" w:cs="Times New Roman"/>
          <w:b/>
          <w:i/>
          <w:color w:val="002060"/>
          <w:sz w:val="24"/>
          <w:szCs w:val="24"/>
        </w:rPr>
        <w:t>Compliance risk remains elevated as banks continue to manage money laundering risks, as well as consumer compliance risks, particularly due to the increasing complexity in consumer compliance regulations.</w:t>
      </w:r>
      <w:r w:rsidR="00923CEF">
        <w:rPr>
          <w:rFonts w:ascii="Calibri" w:eastAsia="Calibri" w:hAnsi="Calibri" w:cs="Times New Roman"/>
          <w:b/>
          <w:i/>
          <w:color w:val="002060"/>
          <w:sz w:val="24"/>
          <w:szCs w:val="24"/>
        </w:rPr>
        <w:t>’</w:t>
      </w:r>
    </w:p>
    <w:p w:rsidR="00BD6CD0" w:rsidRPr="00BD6CD0" w:rsidRDefault="000C7C83" w:rsidP="00923CEF">
      <w:pPr>
        <w:pStyle w:val="CCTOCHeading"/>
        <w:spacing w:line="259" w:lineRule="auto"/>
        <w:rPr>
          <w:rFonts w:cstheme="minorHAnsi"/>
        </w:rPr>
      </w:pPr>
      <w:bookmarkStart w:id="27" w:name="_Toc509412614"/>
      <w:bookmarkEnd w:id="23"/>
      <w:r>
        <w:rPr>
          <w:rFonts w:cstheme="minorHAnsi"/>
        </w:rPr>
        <w:t>Federal Reserve actions</w:t>
      </w:r>
      <w:r w:rsidRPr="000C7C83">
        <w:rPr>
          <w:rFonts w:cstheme="minorHAnsi"/>
        </w:rPr>
        <w:t xml:space="preserve"> </w:t>
      </w:r>
      <w:bookmarkStart w:id="28" w:name="_Hlk509301082"/>
      <w:r w:rsidRPr="000C7C83">
        <w:rPr>
          <w:rFonts w:cstheme="minorHAnsi"/>
        </w:rPr>
        <w:t>and news</w:t>
      </w:r>
      <w:bookmarkStart w:id="29" w:name="_Hlk508886425"/>
      <w:bookmarkEnd w:id="27"/>
      <w:bookmarkEnd w:id="28"/>
    </w:p>
    <w:p w:rsidR="00A40EAC" w:rsidRPr="000C7C83" w:rsidRDefault="00A40EAC" w:rsidP="00923CEF">
      <w:pPr>
        <w:keepNext/>
        <w:spacing w:before="120" w:after="120" w:line="259" w:lineRule="auto"/>
        <w:rPr>
          <w:rFonts w:ascii="Calibri" w:eastAsia="Calibri" w:hAnsi="Calibri" w:cs="Times New Roman"/>
          <w:b/>
          <w:bCs/>
          <w:i/>
          <w:color w:val="000000" w:themeColor="text1"/>
          <w:sz w:val="24"/>
          <w:szCs w:val="24"/>
        </w:rPr>
      </w:pPr>
      <w:bookmarkStart w:id="30" w:name="_Hlk509298688"/>
      <w:r>
        <w:rPr>
          <w:rFonts w:ascii="Calibri" w:eastAsia="Calibri" w:hAnsi="Calibri" w:cs="Times New Roman"/>
          <w:b/>
          <w:bCs/>
          <w:i/>
          <w:color w:val="000000" w:themeColor="text1"/>
          <w:sz w:val="24"/>
          <w:szCs w:val="24"/>
        </w:rPr>
        <w:t>Fed Beige Book Released</w:t>
      </w:r>
      <w:r w:rsidRPr="000C7C83">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03.07.2018</w:t>
      </w:r>
      <w:r w:rsidRPr="000C7C83">
        <w:rPr>
          <w:rFonts w:ascii="Calibri" w:eastAsia="Calibri" w:hAnsi="Calibri" w:cs="Times New Roman"/>
          <w:b/>
          <w:bCs/>
          <w:i/>
          <w:color w:val="000000" w:themeColor="text1"/>
          <w:sz w:val="24"/>
          <w:szCs w:val="24"/>
        </w:rPr>
        <w:t>)</w:t>
      </w:r>
    </w:p>
    <w:p w:rsidR="00A40EAC" w:rsidRDefault="00A40EAC" w:rsidP="00923CEF">
      <w:pPr>
        <w:tabs>
          <w:tab w:val="left" w:pos="1320"/>
        </w:tabs>
        <w:spacing w:before="120" w:after="120" w:line="259" w:lineRule="auto"/>
        <w:rPr>
          <w:rFonts w:ascii="Calibri" w:eastAsia="Calibri" w:hAnsi="Calibri" w:cs="Times New Roman"/>
          <w:bCs/>
          <w:color w:val="000000"/>
          <w:sz w:val="24"/>
          <w:szCs w:val="24"/>
          <w:lang w:val="en"/>
        </w:rPr>
      </w:pPr>
      <w:r w:rsidRPr="009605B3">
        <w:rPr>
          <w:rFonts w:ascii="Calibri" w:eastAsia="Calibri" w:hAnsi="Calibri" w:cs="Times New Roman"/>
          <w:bCs/>
          <w:color w:val="000000"/>
          <w:sz w:val="24"/>
          <w:szCs w:val="24"/>
          <w:lang w:val="en"/>
        </w:rPr>
        <w:t>Commonly known as the Beige Book, this report is published eight times per year. Each Federal Reserve Bank gathers anecdotal information on current economic conditions in its District through reports from Bank and Branch directors and interviews with key business contacts, economists, market experts, and other sources. The Beige Book summarizes this information by District and sector. An overall summary of the twelve district reports is prepared by a designated Federal Reserve Bank on a rotating basis.</w:t>
      </w:r>
    </w:p>
    <w:p w:rsidR="00A40EAC" w:rsidRPr="000C7C83" w:rsidRDefault="00A40EAC" w:rsidP="00923CEF">
      <w:pPr>
        <w:tabs>
          <w:tab w:val="left" w:pos="1320"/>
        </w:tabs>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46" w:history="1">
        <w:r w:rsidRPr="009605B3">
          <w:rPr>
            <w:rStyle w:val="Hyperlink"/>
            <w:rFonts w:ascii="Calibri" w:eastAsia="Calibri" w:hAnsi="Calibri"/>
            <w:b/>
            <w:bCs/>
            <w:sz w:val="24"/>
            <w:szCs w:val="24"/>
          </w:rPr>
          <w:t>link</w:t>
        </w:r>
      </w:hyperlink>
      <w:r>
        <w:rPr>
          <w:rFonts w:ascii="Calibri" w:eastAsia="Calibri" w:hAnsi="Calibri" w:cs="Times New Roman"/>
          <w:b/>
          <w:bCs/>
          <w:color w:val="000000"/>
          <w:sz w:val="24"/>
          <w:szCs w:val="24"/>
        </w:rPr>
        <w:t xml:space="preserve">. </w:t>
      </w:r>
    </w:p>
    <w:p w:rsidR="00A40EAC" w:rsidRDefault="00A40EAC" w:rsidP="00923CEF">
      <w:pPr>
        <w:spacing w:before="120" w:after="120" w:line="259" w:lineRule="auto"/>
        <w:rPr>
          <w:rFonts w:ascii="Calibri" w:eastAsia="Calibri" w:hAnsi="Calibri" w:cs="Times New Roman"/>
          <w:b/>
          <w:i/>
          <w:color w:val="002060"/>
          <w:sz w:val="24"/>
          <w:szCs w:val="24"/>
        </w:rPr>
      </w:pPr>
      <w:r w:rsidRPr="00323369">
        <w:rPr>
          <w:rFonts w:ascii="Calibri" w:eastAsia="Calibri" w:hAnsi="Calibri" w:cs="Times New Roman"/>
          <w:b/>
          <w:bCs/>
          <w:i/>
          <w:color w:val="002060"/>
          <w:sz w:val="24"/>
          <w:szCs w:val="24"/>
        </w:rPr>
        <w:t>Comment:</w:t>
      </w:r>
      <w:r w:rsidRPr="00323369">
        <w:rPr>
          <w:rFonts w:ascii="Calibri" w:eastAsia="Calibri" w:hAnsi="Calibri" w:cs="Times New Roman"/>
          <w:b/>
          <w:i/>
          <w:color w:val="002060"/>
          <w:sz w:val="24"/>
          <w:szCs w:val="24"/>
        </w:rPr>
        <w:t xml:space="preserve"> </w:t>
      </w:r>
      <w:r w:rsidR="00FD2B72" w:rsidRPr="00FD2B72">
        <w:rPr>
          <w:rFonts w:ascii="Calibri" w:eastAsia="Calibri" w:hAnsi="Calibri" w:cs="Times New Roman"/>
          <w:b/>
          <w:i/>
          <w:color w:val="002060"/>
          <w:sz w:val="24"/>
          <w:szCs w:val="24"/>
        </w:rPr>
        <w:t>The economy continued to expand at a modest to moderate pace in January and February</w:t>
      </w:r>
      <w:r w:rsidR="00D0525A">
        <w:rPr>
          <w:rFonts w:ascii="Calibri" w:eastAsia="Calibri" w:hAnsi="Calibri" w:cs="Times New Roman"/>
          <w:b/>
          <w:i/>
          <w:color w:val="002060"/>
          <w:sz w:val="24"/>
          <w:szCs w:val="24"/>
        </w:rPr>
        <w:t xml:space="preserve">. </w:t>
      </w:r>
      <w:r w:rsidR="00FD2B72" w:rsidRPr="00FD2B72">
        <w:rPr>
          <w:rFonts w:ascii="Calibri" w:eastAsia="Calibri" w:hAnsi="Calibri" w:cs="Times New Roman"/>
          <w:b/>
          <w:i/>
          <w:color w:val="002060"/>
          <w:sz w:val="24"/>
          <w:szCs w:val="24"/>
        </w:rPr>
        <w:t>Employment grew at a moderate pace amid persistent labor market tightness nationwide, and demand for qualified workers was brisk. Wage growth was moderate in many districts, and in a few districts the Tax Cuts and Jobs Act was credited for modest increases in compensation</w:t>
      </w:r>
    </w:p>
    <w:p w:rsidR="00BD6CD0" w:rsidRPr="0071614F" w:rsidRDefault="00BD6CD0" w:rsidP="00923CEF">
      <w:pPr>
        <w:spacing w:before="120" w:after="120" w:line="259" w:lineRule="auto"/>
        <w:rPr>
          <w:rFonts w:ascii="Calibri" w:eastAsia="Calibri" w:hAnsi="Calibri" w:cs="Times New Roman"/>
          <w:b/>
          <w:i/>
          <w:color w:val="002060"/>
          <w:sz w:val="24"/>
          <w:szCs w:val="24"/>
        </w:rPr>
      </w:pPr>
    </w:p>
    <w:bookmarkEnd w:id="30"/>
    <w:p w:rsidR="00BD6CD0" w:rsidRPr="000C7C83" w:rsidRDefault="00BD6CD0" w:rsidP="00923CEF">
      <w:pPr>
        <w:spacing w:before="120" w:after="120" w:line="259" w:lineRule="auto"/>
        <w:rPr>
          <w:rFonts w:ascii="Calibri" w:eastAsia="Calibri" w:hAnsi="Calibri" w:cs="Times New Roman"/>
          <w:b/>
          <w:bCs/>
          <w:i/>
          <w:color w:val="000000" w:themeColor="text1"/>
          <w:sz w:val="24"/>
          <w:szCs w:val="24"/>
        </w:rPr>
      </w:pPr>
      <w:r w:rsidRPr="00125670">
        <w:rPr>
          <w:rFonts w:ascii="Calibri" w:eastAsia="Calibri" w:hAnsi="Calibri" w:cs="Times New Roman"/>
          <w:b/>
          <w:bCs/>
          <w:color w:val="000000" w:themeColor="text1"/>
          <w:sz w:val="24"/>
          <w:szCs w:val="24"/>
          <w:lang w:val="en"/>
        </w:rPr>
        <w:t>Federal Reserve Board requests comments on amendments to simplify Regulation J and make it conform more closely with Regulation CC</w:t>
      </w:r>
      <w:r w:rsidRPr="009F6819">
        <w:rPr>
          <w:rFonts w:ascii="Calibri" w:eastAsia="Calibri" w:hAnsi="Calibri" w:cs="Times New Roman"/>
          <w:b/>
          <w:bCs/>
          <w:i/>
          <w:color w:val="000000" w:themeColor="text1"/>
          <w:sz w:val="24"/>
          <w:szCs w:val="24"/>
        </w:rPr>
        <w:t xml:space="preserve"> </w:t>
      </w:r>
      <w:r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03.06.2018</w:t>
      </w:r>
      <w:r w:rsidRPr="000C7C83">
        <w:rPr>
          <w:rFonts w:ascii="Calibri" w:eastAsia="Calibri" w:hAnsi="Calibri" w:cs="Times New Roman"/>
          <w:b/>
          <w:bCs/>
          <w:i/>
          <w:color w:val="000000" w:themeColor="text1"/>
          <w:sz w:val="24"/>
          <w:szCs w:val="24"/>
        </w:rPr>
        <w:t>)</w:t>
      </w:r>
      <w:r w:rsidR="003F5638">
        <w:rPr>
          <w:rFonts w:ascii="Calibri" w:eastAsia="Calibri" w:hAnsi="Calibri" w:cs="Times New Roman"/>
          <w:b/>
          <w:bCs/>
          <w:i/>
          <w:color w:val="000000" w:themeColor="text1"/>
          <w:sz w:val="24"/>
          <w:szCs w:val="24"/>
        </w:rPr>
        <w:t xml:space="preserve"> </w:t>
      </w:r>
      <w:r w:rsidR="003F5638">
        <w:rPr>
          <w:rFonts w:ascii="Calibri" w:eastAsia="Calibri" w:hAnsi="Calibri" w:cs="Times New Roman"/>
          <w:b/>
          <w:bCs/>
          <w:i/>
          <w:noProof/>
          <w:color w:val="000000" w:themeColor="text1"/>
          <w:sz w:val="24"/>
          <w:szCs w:val="24"/>
        </w:rPr>
        <w:drawing>
          <wp:inline distT="0" distB="0" distL="0" distR="0" wp14:anchorId="77E8F0EE">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BD6CD0" w:rsidRDefault="00BD6CD0" w:rsidP="00923CEF">
      <w:pPr>
        <w:spacing w:before="120" w:after="120" w:line="259" w:lineRule="auto"/>
        <w:rPr>
          <w:rFonts w:ascii="Calibri" w:eastAsia="Calibri" w:hAnsi="Calibri" w:cs="Times New Roman"/>
          <w:bCs/>
          <w:color w:val="000000"/>
          <w:sz w:val="24"/>
          <w:szCs w:val="24"/>
        </w:rPr>
      </w:pPr>
      <w:r w:rsidRPr="00125670">
        <w:rPr>
          <w:rFonts w:ascii="Calibri" w:eastAsia="Calibri" w:hAnsi="Calibri" w:cs="Times New Roman"/>
          <w:bCs/>
          <w:color w:val="000000"/>
          <w:sz w:val="24"/>
          <w:szCs w:val="24"/>
        </w:rPr>
        <w:t>Federal Reserve Board requests comments on amendments to simplify Regulation J and make it conform more closely with Regulation CC - The proposed amendments are intended to align the rights and obligations of parties, including the Federal Reserve Banks, with the Board</w:t>
      </w:r>
      <w:r w:rsidR="00923CEF">
        <w:rPr>
          <w:rFonts w:ascii="Calibri" w:eastAsia="Calibri" w:hAnsi="Calibri" w:cs="Times New Roman"/>
          <w:bCs/>
          <w:color w:val="000000"/>
          <w:sz w:val="24"/>
          <w:szCs w:val="24"/>
        </w:rPr>
        <w:t>’</w:t>
      </w:r>
      <w:r w:rsidRPr="00125670">
        <w:rPr>
          <w:rFonts w:ascii="Calibri" w:eastAsia="Calibri" w:hAnsi="Calibri" w:cs="Times New Roman"/>
          <w:bCs/>
          <w:color w:val="000000"/>
          <w:sz w:val="24"/>
          <w:szCs w:val="24"/>
        </w:rPr>
        <w:t>s 2017 amendments to Regulation CC, which reflected the evolution of the nation</w:t>
      </w:r>
      <w:r w:rsidR="00923CEF">
        <w:rPr>
          <w:rFonts w:ascii="Calibri" w:eastAsia="Calibri" w:hAnsi="Calibri" w:cs="Times New Roman"/>
          <w:bCs/>
          <w:color w:val="000000"/>
          <w:sz w:val="24"/>
          <w:szCs w:val="24"/>
        </w:rPr>
        <w:t>’</w:t>
      </w:r>
      <w:r w:rsidRPr="00125670">
        <w:rPr>
          <w:rFonts w:ascii="Calibri" w:eastAsia="Calibri" w:hAnsi="Calibri" w:cs="Times New Roman"/>
          <w:bCs/>
          <w:color w:val="000000"/>
          <w:sz w:val="24"/>
          <w:szCs w:val="24"/>
        </w:rPr>
        <w:t xml:space="preserve">s check collection system from one that is largely paper-based to one that is virtually all electronic. </w:t>
      </w:r>
    </w:p>
    <w:p w:rsidR="00BD6CD0" w:rsidRPr="000C7C83" w:rsidRDefault="00BD6CD0"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47" w:history="1">
        <w:r w:rsidRPr="00125670">
          <w:rPr>
            <w:rStyle w:val="Hyperlink"/>
            <w:rFonts w:ascii="Calibri" w:eastAsia="Calibri" w:hAnsi="Calibri"/>
            <w:b/>
            <w:bCs/>
            <w:sz w:val="24"/>
            <w:szCs w:val="24"/>
          </w:rPr>
          <w:t>link</w:t>
        </w:r>
      </w:hyperlink>
      <w:r>
        <w:rPr>
          <w:rFonts w:ascii="Calibri" w:eastAsia="Calibri" w:hAnsi="Calibri" w:cs="Times New Roman"/>
          <w:b/>
          <w:bCs/>
          <w:color w:val="000000"/>
          <w:sz w:val="24"/>
          <w:szCs w:val="24"/>
        </w:rPr>
        <w:t>.</w:t>
      </w:r>
    </w:p>
    <w:bookmarkEnd w:id="29"/>
    <w:p w:rsidR="0059023F" w:rsidRPr="005B7514" w:rsidRDefault="0059023F" w:rsidP="005B7514">
      <w:pPr>
        <w:rPr>
          <w:b/>
          <w:i/>
          <w:color w:val="002060"/>
          <w:sz w:val="24"/>
          <w:szCs w:val="24"/>
        </w:rPr>
      </w:pPr>
      <w:r w:rsidRPr="005B7514">
        <w:rPr>
          <w:b/>
          <w:i/>
          <w:color w:val="002060"/>
          <w:sz w:val="24"/>
          <w:szCs w:val="24"/>
        </w:rPr>
        <w:t>Comment: Yea! This is an area where consistency would be beneficial to the industry.</w:t>
      </w:r>
      <w:r w:rsidR="00D0525A" w:rsidRPr="005B7514">
        <w:rPr>
          <w:rFonts w:ascii="Arial" w:hAnsi="Arial"/>
          <w:b/>
          <w:i/>
          <w:color w:val="002060"/>
          <w:sz w:val="24"/>
          <w:szCs w:val="24"/>
        </w:rPr>
        <w:t xml:space="preserve"> </w:t>
      </w:r>
      <w:r w:rsidR="00D0525A" w:rsidRPr="005B7514">
        <w:rPr>
          <w:b/>
          <w:i/>
          <w:color w:val="002060"/>
          <w:sz w:val="24"/>
          <w:szCs w:val="24"/>
        </w:rPr>
        <w:t>Subpart A of Regulation J governs the collection of checks and other items by the Reserve Banks. This subpart includes the warranties and indemnities that are given to the Reserve Banks by parties that send items to the Reserve Banks for collection and return, as well as the warranties and indemnities for which the Reserve Banks are responsible in connection with the items they handle.</w:t>
      </w:r>
      <w:r w:rsidR="00D0525A" w:rsidRPr="005B7514">
        <w:rPr>
          <w:rFonts w:ascii="Arial" w:hAnsi="Arial"/>
          <w:b/>
          <w:i/>
          <w:color w:val="002060"/>
          <w:sz w:val="24"/>
          <w:szCs w:val="24"/>
        </w:rPr>
        <w:t xml:space="preserve"> </w:t>
      </w:r>
      <w:r w:rsidR="00D0525A" w:rsidRPr="005B7514">
        <w:rPr>
          <w:b/>
          <w:i/>
          <w:color w:val="002060"/>
          <w:sz w:val="24"/>
          <w:szCs w:val="24"/>
        </w:rPr>
        <w:t>Subpart B of Regulation J provides rules to govern funds transfers through the Reserve Banks</w:t>
      </w:r>
      <w:r w:rsidR="00923CEF" w:rsidRPr="005B7514">
        <w:rPr>
          <w:b/>
          <w:i/>
          <w:color w:val="002060"/>
          <w:sz w:val="24"/>
          <w:szCs w:val="24"/>
        </w:rPr>
        <w:t>’</w:t>
      </w:r>
      <w:r w:rsidR="00D0525A" w:rsidRPr="005B7514">
        <w:rPr>
          <w:b/>
          <w:i/>
          <w:color w:val="002060"/>
          <w:sz w:val="24"/>
          <w:szCs w:val="24"/>
        </w:rPr>
        <w:t xml:space="preserve"> Fedwire Funds Service. This service is also governed by the Reserve Banks</w:t>
      </w:r>
      <w:r w:rsidR="00923CEF" w:rsidRPr="005B7514">
        <w:rPr>
          <w:b/>
          <w:i/>
          <w:color w:val="002060"/>
          <w:sz w:val="24"/>
          <w:szCs w:val="24"/>
        </w:rPr>
        <w:t>’</w:t>
      </w:r>
      <w:r w:rsidR="00D0525A" w:rsidRPr="005B7514">
        <w:rPr>
          <w:b/>
          <w:i/>
          <w:color w:val="002060"/>
          <w:sz w:val="24"/>
          <w:szCs w:val="24"/>
        </w:rPr>
        <w:t xml:space="preserve"> Operating Circular No. 6, </w:t>
      </w:r>
      <w:r w:rsidR="00923CEF" w:rsidRPr="005B7514">
        <w:rPr>
          <w:b/>
          <w:i/>
          <w:color w:val="002060"/>
          <w:sz w:val="24"/>
          <w:szCs w:val="24"/>
        </w:rPr>
        <w:t>“</w:t>
      </w:r>
      <w:r w:rsidR="00D0525A" w:rsidRPr="005B7514">
        <w:rPr>
          <w:b/>
          <w:i/>
          <w:color w:val="002060"/>
          <w:sz w:val="24"/>
          <w:szCs w:val="24"/>
        </w:rPr>
        <w:t>Funds Transfers through the Fedwire Funds Service</w:t>
      </w:r>
      <w:r w:rsidR="00923CEF" w:rsidRPr="005B7514">
        <w:rPr>
          <w:b/>
          <w:i/>
          <w:color w:val="002060"/>
          <w:sz w:val="24"/>
          <w:szCs w:val="24"/>
        </w:rPr>
        <w:t>”</w:t>
      </w:r>
      <w:r w:rsidR="00D0525A" w:rsidRPr="005B7514">
        <w:rPr>
          <w:b/>
          <w:i/>
          <w:color w:val="002060"/>
          <w:sz w:val="24"/>
          <w:szCs w:val="24"/>
        </w:rPr>
        <w:t xml:space="preserve"> (OC 6).</w:t>
      </w:r>
    </w:p>
    <w:p w:rsidR="00A52376" w:rsidRPr="00436AD8" w:rsidRDefault="00A52376" w:rsidP="00923CEF">
      <w:pPr>
        <w:pStyle w:val="CCTOCHeading"/>
        <w:spacing w:line="259" w:lineRule="auto"/>
        <w:rPr>
          <w:rFonts w:asciiTheme="minorHAnsi" w:hAnsiTheme="minorHAnsi" w:cstheme="minorHAnsi"/>
        </w:rPr>
      </w:pPr>
      <w:bookmarkStart w:id="31" w:name="_Toc509412615"/>
      <w:r w:rsidRPr="00436AD8">
        <w:rPr>
          <w:rFonts w:asciiTheme="minorHAnsi" w:hAnsiTheme="minorHAnsi" w:cstheme="minorHAnsi"/>
        </w:rPr>
        <w:lastRenderedPageBreak/>
        <w:t>Other federal action and news</w:t>
      </w:r>
      <w:bookmarkEnd w:id="24"/>
      <w:bookmarkEnd w:id="25"/>
      <w:bookmarkEnd w:id="31"/>
    </w:p>
    <w:p w:rsidR="0071614F" w:rsidRPr="000C7C83" w:rsidRDefault="008B18B7" w:rsidP="00923CEF">
      <w:pPr>
        <w:spacing w:before="120" w:after="120" w:line="259" w:lineRule="auto"/>
        <w:rPr>
          <w:rFonts w:ascii="Calibri" w:eastAsia="Calibri" w:hAnsi="Calibri" w:cs="Times New Roman"/>
          <w:b/>
          <w:bCs/>
          <w:i/>
          <w:color w:val="000000" w:themeColor="text1"/>
          <w:sz w:val="24"/>
          <w:szCs w:val="24"/>
        </w:rPr>
      </w:pPr>
      <w:bookmarkStart w:id="32" w:name="_Toc504138797"/>
      <w:bookmarkEnd w:id="26"/>
      <w:r>
        <w:rPr>
          <w:rFonts w:ascii="Calibri" w:eastAsia="Calibri" w:hAnsi="Calibri" w:cs="Times New Roman"/>
          <w:b/>
          <w:bCs/>
          <w:i/>
          <w:color w:val="000000" w:themeColor="text1"/>
          <w:sz w:val="24"/>
          <w:szCs w:val="24"/>
        </w:rPr>
        <w:t xml:space="preserve">FTC - </w:t>
      </w:r>
      <w:r w:rsidR="000D7378" w:rsidRPr="000D7378">
        <w:rPr>
          <w:rFonts w:ascii="Calibri" w:eastAsia="Calibri" w:hAnsi="Calibri" w:cs="Times New Roman"/>
          <w:b/>
          <w:bCs/>
          <w:i/>
          <w:color w:val="000000" w:themeColor="text1"/>
          <w:sz w:val="24"/>
          <w:szCs w:val="24"/>
        </w:rPr>
        <w:t>Stopping scams targeting older consumers</w:t>
      </w:r>
      <w:r w:rsidR="0071614F" w:rsidRPr="000C7C83">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02.22.2018</w:t>
      </w:r>
      <w:r w:rsidR="0071614F" w:rsidRPr="000C7C83">
        <w:rPr>
          <w:rFonts w:ascii="Calibri" w:eastAsia="Calibri" w:hAnsi="Calibri" w:cs="Times New Roman"/>
          <w:b/>
          <w:bCs/>
          <w:i/>
          <w:color w:val="000000" w:themeColor="text1"/>
          <w:sz w:val="24"/>
          <w:szCs w:val="24"/>
        </w:rPr>
        <w:t>)</w:t>
      </w:r>
    </w:p>
    <w:p w:rsidR="000D7378" w:rsidRPr="000D7378" w:rsidRDefault="000D7378" w:rsidP="00923CEF">
      <w:pPr>
        <w:spacing w:before="120" w:after="120" w:line="259" w:lineRule="auto"/>
        <w:rPr>
          <w:rFonts w:ascii="Calibri" w:eastAsia="Calibri" w:hAnsi="Calibri" w:cs="Times New Roman"/>
          <w:bCs/>
          <w:color w:val="000000"/>
          <w:sz w:val="24"/>
          <w:szCs w:val="24"/>
        </w:rPr>
      </w:pPr>
      <w:r w:rsidRPr="000D7378">
        <w:rPr>
          <w:rFonts w:ascii="Calibri" w:eastAsia="Calibri" w:hAnsi="Calibri" w:cs="Times New Roman"/>
          <w:bCs/>
          <w:color w:val="000000"/>
          <w:sz w:val="24"/>
          <w:szCs w:val="24"/>
        </w:rPr>
        <w:t xml:space="preserve">The FTC has a long history of protecting people from scams.  As part of its ongoing efforts to protect people in every community, the FTC recently took steps to </w:t>
      </w:r>
      <w:hyperlink r:id="rId48" w:history="1">
        <w:r w:rsidRPr="000D7378">
          <w:rPr>
            <w:rStyle w:val="Hyperlink"/>
            <w:rFonts w:ascii="Calibri" w:eastAsia="Calibri" w:hAnsi="Calibri"/>
            <w:sz w:val="24"/>
            <w:szCs w:val="24"/>
          </w:rPr>
          <w:t>stop two schemes harming older adults</w:t>
        </w:r>
      </w:hyperlink>
      <w:r w:rsidRPr="000D7378">
        <w:rPr>
          <w:rFonts w:ascii="Calibri" w:eastAsia="Calibri" w:hAnsi="Calibri" w:cs="Times New Roman"/>
          <w:bCs/>
          <w:color w:val="000000"/>
          <w:sz w:val="24"/>
          <w:szCs w:val="24"/>
        </w:rPr>
        <w:t>: a tech support scam and a sweepstakes scam.</w:t>
      </w:r>
    </w:p>
    <w:p w:rsidR="000D7378" w:rsidRPr="000D7378" w:rsidRDefault="000D7378" w:rsidP="00923CEF">
      <w:pPr>
        <w:spacing w:before="120" w:after="120" w:line="259" w:lineRule="auto"/>
        <w:rPr>
          <w:rFonts w:ascii="Calibri" w:eastAsia="Calibri" w:hAnsi="Calibri" w:cs="Times New Roman"/>
          <w:bCs/>
          <w:color w:val="000000"/>
          <w:sz w:val="24"/>
          <w:szCs w:val="24"/>
        </w:rPr>
      </w:pPr>
      <w:r w:rsidRPr="000D7378">
        <w:rPr>
          <w:rFonts w:ascii="Calibri" w:eastAsia="Calibri" w:hAnsi="Calibri" w:cs="Times New Roman"/>
          <w:bCs/>
          <w:color w:val="000000"/>
          <w:sz w:val="24"/>
          <w:szCs w:val="24"/>
        </w:rPr>
        <w:t>This latest tech support scam, which appears to impact older adults, has a lot in common with other scams we</w:t>
      </w:r>
      <w:r w:rsidR="00923CEF">
        <w:rPr>
          <w:rFonts w:ascii="Calibri" w:eastAsia="Calibri" w:hAnsi="Calibri" w:cs="Times New Roman"/>
          <w:bCs/>
          <w:color w:val="000000"/>
          <w:sz w:val="24"/>
          <w:szCs w:val="24"/>
        </w:rPr>
        <w:t>’</w:t>
      </w:r>
      <w:r w:rsidRPr="000D7378">
        <w:rPr>
          <w:rFonts w:ascii="Calibri" w:eastAsia="Calibri" w:hAnsi="Calibri" w:cs="Times New Roman"/>
          <w:bCs/>
          <w:color w:val="000000"/>
          <w:sz w:val="24"/>
          <w:szCs w:val="24"/>
        </w:rPr>
        <w:t>ve seen. Some scammers pretend to be calling from the technical support department of a well-known company. Others send pop-up messages warning you about a problem with your computer. They want you to believe your computer is infected with a virus, or that a hacker is trying to access your computer. It</w:t>
      </w:r>
      <w:r w:rsidR="00923CEF">
        <w:rPr>
          <w:rFonts w:ascii="Calibri" w:eastAsia="Calibri" w:hAnsi="Calibri" w:cs="Times New Roman"/>
          <w:bCs/>
          <w:color w:val="000000"/>
          <w:sz w:val="24"/>
          <w:szCs w:val="24"/>
        </w:rPr>
        <w:t>’</w:t>
      </w:r>
      <w:r w:rsidRPr="000D7378">
        <w:rPr>
          <w:rFonts w:ascii="Calibri" w:eastAsia="Calibri" w:hAnsi="Calibri" w:cs="Times New Roman"/>
          <w:bCs/>
          <w:color w:val="000000"/>
          <w:sz w:val="24"/>
          <w:szCs w:val="24"/>
        </w:rPr>
        <w:t>s all a ploy to get you to pay for bogus technical support you don</w:t>
      </w:r>
      <w:r w:rsidR="00923CEF">
        <w:rPr>
          <w:rFonts w:ascii="Calibri" w:eastAsia="Calibri" w:hAnsi="Calibri" w:cs="Times New Roman"/>
          <w:bCs/>
          <w:color w:val="000000"/>
          <w:sz w:val="24"/>
          <w:szCs w:val="24"/>
        </w:rPr>
        <w:t>’</w:t>
      </w:r>
      <w:r w:rsidRPr="000D7378">
        <w:rPr>
          <w:rFonts w:ascii="Calibri" w:eastAsia="Calibri" w:hAnsi="Calibri" w:cs="Times New Roman"/>
          <w:bCs/>
          <w:color w:val="000000"/>
          <w:sz w:val="24"/>
          <w:szCs w:val="24"/>
        </w:rPr>
        <w:t xml:space="preserve">t need. Find out how you can help someone you know </w:t>
      </w:r>
      <w:hyperlink r:id="rId49" w:history="1">
        <w:r w:rsidRPr="000D7378">
          <w:rPr>
            <w:rStyle w:val="Hyperlink"/>
            <w:rFonts w:ascii="Calibri" w:eastAsia="Calibri" w:hAnsi="Calibri"/>
            <w:sz w:val="24"/>
            <w:szCs w:val="24"/>
          </w:rPr>
          <w:t>recognize and avoid a tech support scam</w:t>
        </w:r>
      </w:hyperlink>
      <w:r w:rsidRPr="000D7378">
        <w:rPr>
          <w:rFonts w:ascii="Calibri" w:eastAsia="Calibri" w:hAnsi="Calibri" w:cs="Times New Roman"/>
          <w:bCs/>
          <w:color w:val="000000"/>
          <w:sz w:val="24"/>
          <w:szCs w:val="24"/>
        </w:rPr>
        <w:t>.</w:t>
      </w:r>
    </w:p>
    <w:p w:rsidR="000D7378" w:rsidRPr="000D7378" w:rsidRDefault="000D7378" w:rsidP="00923CEF">
      <w:pPr>
        <w:spacing w:before="120" w:after="120" w:line="259" w:lineRule="auto"/>
        <w:rPr>
          <w:rFonts w:ascii="Calibri" w:eastAsia="Calibri" w:hAnsi="Calibri" w:cs="Times New Roman"/>
          <w:bCs/>
          <w:color w:val="000000"/>
          <w:sz w:val="24"/>
          <w:szCs w:val="24"/>
        </w:rPr>
      </w:pPr>
      <w:r w:rsidRPr="000D7378">
        <w:rPr>
          <w:rFonts w:ascii="Calibri" w:eastAsia="Calibri" w:hAnsi="Calibri" w:cs="Times New Roman"/>
          <w:bCs/>
          <w:color w:val="000000"/>
          <w:sz w:val="24"/>
          <w:szCs w:val="24"/>
        </w:rPr>
        <w:t>The other operation appears to target older adults with a sweepstakes scam. The companies behind the scam send mailers that make people think they</w:t>
      </w:r>
      <w:r w:rsidR="00923CEF">
        <w:rPr>
          <w:rFonts w:ascii="Calibri" w:eastAsia="Calibri" w:hAnsi="Calibri" w:cs="Times New Roman"/>
          <w:bCs/>
          <w:color w:val="000000"/>
          <w:sz w:val="24"/>
          <w:szCs w:val="24"/>
        </w:rPr>
        <w:t>’</w:t>
      </w:r>
      <w:r w:rsidRPr="000D7378">
        <w:rPr>
          <w:rFonts w:ascii="Calibri" w:eastAsia="Calibri" w:hAnsi="Calibri" w:cs="Times New Roman"/>
          <w:bCs/>
          <w:color w:val="000000"/>
          <w:sz w:val="24"/>
          <w:szCs w:val="24"/>
        </w:rPr>
        <w:t xml:space="preserve">ve won a $1 million prize (or more!), and that the recipient only needs to pay a small fee to claim it. Find out how you can help someone you know </w:t>
      </w:r>
      <w:hyperlink r:id="rId50" w:anchor="quotyou039ve-wonquot-scams" w:history="1">
        <w:r w:rsidRPr="000D7378">
          <w:rPr>
            <w:rStyle w:val="Hyperlink"/>
            <w:rFonts w:ascii="Calibri" w:eastAsia="Calibri" w:hAnsi="Calibri"/>
            <w:sz w:val="24"/>
            <w:szCs w:val="24"/>
          </w:rPr>
          <w:t>avoid a prize or sweepstakes scam</w:t>
        </w:r>
      </w:hyperlink>
      <w:r w:rsidRPr="000D7378">
        <w:rPr>
          <w:rFonts w:ascii="Calibri" w:eastAsia="Calibri" w:hAnsi="Calibri" w:cs="Times New Roman"/>
          <w:bCs/>
          <w:color w:val="000000"/>
          <w:sz w:val="24"/>
          <w:szCs w:val="24"/>
        </w:rPr>
        <w:t>.</w:t>
      </w:r>
    </w:p>
    <w:p w:rsidR="0071614F" w:rsidRPr="000C7C83" w:rsidRDefault="0071614F"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51" w:history="1">
        <w:r w:rsidR="000D7378" w:rsidRPr="000D7378">
          <w:rPr>
            <w:rStyle w:val="Hyperlink"/>
            <w:rFonts w:ascii="Calibri" w:eastAsia="Calibri" w:hAnsi="Calibri"/>
            <w:sz w:val="24"/>
            <w:szCs w:val="24"/>
          </w:rPr>
          <w:t>link</w:t>
        </w:r>
      </w:hyperlink>
      <w:r w:rsidR="000D7378">
        <w:rPr>
          <w:rFonts w:ascii="Calibri" w:eastAsia="Calibri" w:hAnsi="Calibri" w:cs="Times New Roman"/>
          <w:b/>
          <w:bCs/>
          <w:color w:val="000000"/>
          <w:sz w:val="24"/>
          <w:szCs w:val="24"/>
        </w:rPr>
        <w:t xml:space="preserve">. </w:t>
      </w:r>
    </w:p>
    <w:p w:rsidR="0071614F" w:rsidRPr="000C7C83" w:rsidRDefault="0059023F" w:rsidP="006C1D3C">
      <w:pPr>
        <w:rPr>
          <w:rFonts w:ascii="Calibri" w:eastAsia="Calibri" w:hAnsi="Calibri" w:cs="Times New Roman"/>
          <w:b/>
          <w:bCs/>
          <w:color w:val="000000"/>
          <w:sz w:val="24"/>
          <w:szCs w:val="24"/>
        </w:rPr>
      </w:pPr>
      <w:r w:rsidRPr="007C7FE1">
        <w:rPr>
          <w:b/>
          <w:i/>
          <w:color w:val="002060"/>
          <w:sz w:val="24"/>
          <w:szCs w:val="24"/>
        </w:rPr>
        <w:t xml:space="preserve">Comment: </w:t>
      </w:r>
      <w:r w:rsidR="00F56C36">
        <w:rPr>
          <w:b/>
          <w:i/>
          <w:color w:val="002060"/>
          <w:sz w:val="24"/>
          <w:szCs w:val="24"/>
        </w:rPr>
        <w:t>Many state l</w:t>
      </w:r>
      <w:r w:rsidRPr="007C7FE1">
        <w:rPr>
          <w:b/>
          <w:i/>
          <w:color w:val="002060"/>
          <w:sz w:val="24"/>
          <w:szCs w:val="24"/>
        </w:rPr>
        <w:t>egislature</w:t>
      </w:r>
      <w:r w:rsidR="00F56C36">
        <w:rPr>
          <w:b/>
          <w:i/>
          <w:color w:val="002060"/>
          <w:sz w:val="24"/>
          <w:szCs w:val="24"/>
        </w:rPr>
        <w:t>s have</w:t>
      </w:r>
      <w:r w:rsidRPr="007C7FE1">
        <w:rPr>
          <w:b/>
          <w:i/>
          <w:color w:val="002060"/>
          <w:sz w:val="24"/>
          <w:szCs w:val="24"/>
        </w:rPr>
        <w:t xml:space="preserve"> significantly strengthened elder abuse law</w:t>
      </w:r>
      <w:r w:rsidR="00F56C36">
        <w:rPr>
          <w:b/>
          <w:i/>
          <w:color w:val="002060"/>
          <w:sz w:val="24"/>
          <w:szCs w:val="24"/>
        </w:rPr>
        <w:t>s</w:t>
      </w:r>
      <w:r w:rsidRPr="007C7FE1">
        <w:rPr>
          <w:b/>
          <w:i/>
          <w:color w:val="002060"/>
          <w:sz w:val="24"/>
          <w:szCs w:val="24"/>
        </w:rPr>
        <w:t>. Use this information in training your staff to identify scams and protect vulnerable customers</w:t>
      </w:r>
      <w:bookmarkStart w:id="33" w:name="_Hlk506961000"/>
      <w:bookmarkStart w:id="34" w:name="_Toc409519099"/>
      <w:bookmarkStart w:id="35" w:name="_Toc504138798"/>
      <w:bookmarkEnd w:id="32"/>
      <w:r w:rsidR="00580E70">
        <w:rPr>
          <w:rFonts w:ascii="Calibri" w:eastAsia="Calibri" w:hAnsi="Calibri" w:cs="Times New Roman"/>
          <w:b/>
          <w:bCs/>
          <w:color w:val="000000"/>
          <w:sz w:val="24"/>
          <w:szCs w:val="24"/>
        </w:rPr>
        <w:t xml:space="preserve"> </w:t>
      </w:r>
    </w:p>
    <w:p w:rsidR="005D42FA" w:rsidRPr="00436AD8" w:rsidRDefault="00A52376" w:rsidP="00923CEF">
      <w:pPr>
        <w:pStyle w:val="CCTOCHeading"/>
        <w:spacing w:line="259" w:lineRule="auto"/>
        <w:rPr>
          <w:rFonts w:asciiTheme="minorHAnsi" w:hAnsiTheme="minorHAnsi" w:cstheme="minorHAnsi"/>
        </w:rPr>
      </w:pPr>
      <w:bookmarkStart w:id="36" w:name="_Toc509412617"/>
      <w:bookmarkEnd w:id="33"/>
      <w:r w:rsidRPr="00436AD8">
        <w:rPr>
          <w:rFonts w:asciiTheme="minorHAnsi" w:hAnsiTheme="minorHAnsi" w:cstheme="minorHAnsi"/>
        </w:rPr>
        <w:t>Publications, articles, reports, studies, testimony &amp; speeches</w:t>
      </w:r>
      <w:bookmarkEnd w:id="34"/>
      <w:bookmarkEnd w:id="35"/>
      <w:bookmarkEnd w:id="36"/>
    </w:p>
    <w:p w:rsidR="0071614F" w:rsidRPr="000C7C83" w:rsidRDefault="005E5E53" w:rsidP="00923CEF">
      <w:pPr>
        <w:spacing w:before="120" w:after="120" w:line="259" w:lineRule="auto"/>
        <w:rPr>
          <w:rFonts w:ascii="Calibri" w:eastAsia="Calibri" w:hAnsi="Calibri" w:cs="Times New Roman"/>
          <w:b/>
          <w:bCs/>
          <w:i/>
          <w:color w:val="000000" w:themeColor="text1"/>
          <w:sz w:val="24"/>
          <w:szCs w:val="24"/>
        </w:rPr>
      </w:pPr>
      <w:bookmarkStart w:id="37" w:name="_Hlk506888881"/>
      <w:bookmarkStart w:id="38" w:name="_Hlk504379111"/>
      <w:bookmarkStart w:id="39" w:name="_Toc504138799"/>
      <w:r w:rsidRPr="005E5E53">
        <w:rPr>
          <w:rFonts w:ascii="Calibri" w:eastAsia="Calibri" w:hAnsi="Calibri" w:cs="Times New Roman"/>
          <w:b/>
          <w:bCs/>
          <w:i/>
          <w:color w:val="000000" w:themeColor="text1"/>
          <w:sz w:val="24"/>
          <w:szCs w:val="24"/>
          <w:lang w:val="en"/>
        </w:rPr>
        <w:t>The Winds of Change for Community Banking: Headwinds, Tailwinds, and Regulation</w:t>
      </w:r>
      <w:r w:rsidRPr="005E5E53">
        <w:rPr>
          <w:rFonts w:ascii="Calibri" w:eastAsia="Calibri" w:hAnsi="Calibri" w:cs="Times New Roman"/>
          <w:b/>
          <w:bCs/>
          <w:i/>
          <w:color w:val="000000" w:themeColor="text1"/>
          <w:sz w:val="24"/>
          <w:szCs w:val="24"/>
        </w:rPr>
        <w:t xml:space="preserve"> </w:t>
      </w:r>
      <w:r w:rsidR="0071614F"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w:t>
      </w:r>
      <w:r w:rsidR="0071614F">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14</w:t>
      </w:r>
      <w:r w:rsidR="0071614F">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2018</w:t>
      </w:r>
      <w:r w:rsidR="0071614F" w:rsidRPr="000C7C83">
        <w:rPr>
          <w:rFonts w:ascii="Calibri" w:eastAsia="Calibri" w:hAnsi="Calibri" w:cs="Times New Roman"/>
          <w:b/>
          <w:bCs/>
          <w:i/>
          <w:color w:val="000000" w:themeColor="text1"/>
          <w:sz w:val="24"/>
          <w:szCs w:val="24"/>
        </w:rPr>
        <w:t>)</w:t>
      </w:r>
    </w:p>
    <w:p w:rsidR="005E5E53" w:rsidRPr="005E5E53" w:rsidRDefault="005E5E53" w:rsidP="00923CEF">
      <w:pPr>
        <w:spacing w:before="120" w:after="120" w:line="259" w:lineRule="auto"/>
        <w:rPr>
          <w:rFonts w:ascii="Calibri" w:eastAsia="Calibri" w:hAnsi="Calibri" w:cs="Times New Roman"/>
          <w:bCs/>
          <w:color w:val="000000"/>
          <w:sz w:val="24"/>
          <w:szCs w:val="24"/>
          <w:lang w:val="en"/>
        </w:rPr>
      </w:pPr>
      <w:r w:rsidRPr="005E5E53">
        <w:rPr>
          <w:rFonts w:ascii="Calibri" w:eastAsia="Calibri" w:hAnsi="Calibri" w:cs="Times New Roman"/>
          <w:bCs/>
          <w:color w:val="000000"/>
          <w:sz w:val="24"/>
          <w:szCs w:val="24"/>
          <w:lang w:val="en"/>
        </w:rPr>
        <w:t>The 12th annual Community Bankers Symposium, cosponsored by the Federal Reserve Bank of Chicago, the Federal Deposit Insurance Corporation (FDIC), and the Office of the Comptroller of the Currency (OCC), was held at the Chicago Fed on November 17, 2017. During a full day of speeches and panels, a group of 125 community banking executives, financial industry practitioners, and supervisory agency professionals who work in the Seventh Federal Reserve District</w:t>
      </w:r>
      <w:bookmarkStart w:id="40" w:name="ftnref1"/>
      <w:r w:rsidRPr="005E5E53">
        <w:rPr>
          <w:rFonts w:ascii="Calibri" w:eastAsia="Calibri" w:hAnsi="Calibri" w:cs="Times New Roman"/>
          <w:bCs/>
          <w:color w:val="000000"/>
          <w:sz w:val="24"/>
          <w:szCs w:val="24"/>
          <w:lang w:val="en"/>
        </w:rPr>
        <w:fldChar w:fldCharType="begin"/>
      </w:r>
      <w:r w:rsidRPr="005E5E53">
        <w:rPr>
          <w:rFonts w:ascii="Calibri" w:eastAsia="Calibri" w:hAnsi="Calibri" w:cs="Times New Roman"/>
          <w:bCs/>
          <w:color w:val="000000"/>
          <w:sz w:val="24"/>
          <w:szCs w:val="24"/>
          <w:lang w:val="en"/>
        </w:rPr>
        <w:instrText xml:space="preserve"> HYPERLINK "https://www.chicagofed.org/publications/chicago-fed-letter/2018/394" \l "ftn1" \o "Footnote 1" </w:instrText>
      </w:r>
      <w:r w:rsidRPr="005E5E53">
        <w:rPr>
          <w:rFonts w:ascii="Calibri" w:eastAsia="Calibri" w:hAnsi="Calibri" w:cs="Times New Roman"/>
          <w:bCs/>
          <w:color w:val="000000"/>
          <w:sz w:val="24"/>
          <w:szCs w:val="24"/>
          <w:lang w:val="en"/>
        </w:rPr>
        <w:fldChar w:fldCharType="separate"/>
      </w:r>
      <w:r w:rsidRPr="005E5E53">
        <w:rPr>
          <w:rStyle w:val="Hyperlink"/>
          <w:rFonts w:ascii="Calibri" w:eastAsia="Calibri" w:hAnsi="Calibri"/>
          <w:bCs/>
          <w:sz w:val="24"/>
          <w:szCs w:val="24"/>
          <w:vertAlign w:val="superscript"/>
          <w:lang w:val="en"/>
        </w:rPr>
        <w:t>1</w:t>
      </w:r>
      <w:r w:rsidRPr="005E5E53">
        <w:rPr>
          <w:rFonts w:ascii="Calibri" w:eastAsia="Calibri" w:hAnsi="Calibri" w:cs="Times New Roman"/>
          <w:bCs/>
          <w:color w:val="000000"/>
          <w:sz w:val="24"/>
          <w:szCs w:val="24"/>
        </w:rPr>
        <w:fldChar w:fldCharType="end"/>
      </w:r>
      <w:bookmarkEnd w:id="40"/>
      <w:r w:rsidRPr="005E5E53">
        <w:rPr>
          <w:rFonts w:ascii="Calibri" w:eastAsia="Calibri" w:hAnsi="Calibri" w:cs="Times New Roman"/>
          <w:bCs/>
          <w:color w:val="000000"/>
          <w:sz w:val="24"/>
          <w:szCs w:val="24"/>
          <w:lang w:val="en"/>
        </w:rPr>
        <w:t xml:space="preserve"> explored the changing landscape for community banking. This article summarizes the event</w:t>
      </w:r>
      <w:r w:rsidR="00923CEF">
        <w:rPr>
          <w:rFonts w:ascii="Calibri" w:eastAsia="Calibri" w:hAnsi="Calibri" w:cs="Times New Roman"/>
          <w:bCs/>
          <w:color w:val="000000"/>
          <w:sz w:val="24"/>
          <w:szCs w:val="24"/>
          <w:lang w:val="en"/>
        </w:rPr>
        <w:t>’</w:t>
      </w:r>
      <w:r w:rsidRPr="005E5E53">
        <w:rPr>
          <w:rFonts w:ascii="Calibri" w:eastAsia="Calibri" w:hAnsi="Calibri" w:cs="Times New Roman"/>
          <w:bCs/>
          <w:color w:val="000000"/>
          <w:sz w:val="24"/>
          <w:szCs w:val="24"/>
          <w:lang w:val="en"/>
        </w:rPr>
        <w:t xml:space="preserve">s key presentations and discussions. </w:t>
      </w:r>
    </w:p>
    <w:p w:rsidR="005E5E53" w:rsidRPr="005E5E53" w:rsidRDefault="005E5E53" w:rsidP="00923CEF">
      <w:pPr>
        <w:spacing w:before="120" w:after="120" w:line="259" w:lineRule="auto"/>
        <w:rPr>
          <w:rFonts w:ascii="Calibri" w:eastAsia="Calibri" w:hAnsi="Calibri" w:cs="Times New Roman"/>
          <w:bCs/>
          <w:color w:val="000000"/>
          <w:sz w:val="24"/>
          <w:szCs w:val="24"/>
          <w:lang w:val="en"/>
        </w:rPr>
      </w:pPr>
      <w:r w:rsidRPr="005E5E53">
        <w:rPr>
          <w:rFonts w:ascii="Calibri" w:eastAsia="Calibri" w:hAnsi="Calibri" w:cs="Times New Roman"/>
          <w:bCs/>
          <w:color w:val="000000"/>
          <w:sz w:val="24"/>
          <w:szCs w:val="24"/>
          <w:lang w:val="en"/>
        </w:rPr>
        <w:t>The conference</w:t>
      </w:r>
      <w:r w:rsidR="00923CEF">
        <w:rPr>
          <w:rFonts w:ascii="Calibri" w:eastAsia="Calibri" w:hAnsi="Calibri" w:cs="Times New Roman"/>
          <w:bCs/>
          <w:color w:val="000000"/>
          <w:sz w:val="24"/>
          <w:szCs w:val="24"/>
          <w:lang w:val="en"/>
        </w:rPr>
        <w:t>’</w:t>
      </w:r>
      <w:r w:rsidRPr="005E5E53">
        <w:rPr>
          <w:rFonts w:ascii="Calibri" w:eastAsia="Calibri" w:hAnsi="Calibri" w:cs="Times New Roman"/>
          <w:bCs/>
          <w:color w:val="000000"/>
          <w:sz w:val="24"/>
          <w:szCs w:val="24"/>
          <w:lang w:val="en"/>
        </w:rPr>
        <w:t>s speakers focused on the current state of the economy, updates on key accounting and regulatory changes, common examination findings, and views on regulatory requirements and supervisory initiatives. Additionally, panels of agency ombudsmen</w:t>
      </w:r>
      <w:bookmarkStart w:id="41" w:name="ftnref2"/>
      <w:r w:rsidRPr="005E5E53">
        <w:rPr>
          <w:rFonts w:ascii="Calibri" w:eastAsia="Calibri" w:hAnsi="Calibri" w:cs="Times New Roman"/>
          <w:bCs/>
          <w:color w:val="000000"/>
          <w:sz w:val="24"/>
          <w:szCs w:val="24"/>
          <w:lang w:val="en"/>
        </w:rPr>
        <w:fldChar w:fldCharType="begin"/>
      </w:r>
      <w:r w:rsidRPr="005E5E53">
        <w:rPr>
          <w:rFonts w:ascii="Calibri" w:eastAsia="Calibri" w:hAnsi="Calibri" w:cs="Times New Roman"/>
          <w:bCs/>
          <w:color w:val="000000"/>
          <w:sz w:val="24"/>
          <w:szCs w:val="24"/>
          <w:lang w:val="en"/>
        </w:rPr>
        <w:instrText xml:space="preserve"> HYPERLINK "https://www.chicagofed.org/publications/chicago-fed-letter/2018/394" \l "ftn2" \o "Footnote 2" </w:instrText>
      </w:r>
      <w:r w:rsidRPr="005E5E53">
        <w:rPr>
          <w:rFonts w:ascii="Calibri" w:eastAsia="Calibri" w:hAnsi="Calibri" w:cs="Times New Roman"/>
          <w:bCs/>
          <w:color w:val="000000"/>
          <w:sz w:val="24"/>
          <w:szCs w:val="24"/>
          <w:lang w:val="en"/>
        </w:rPr>
        <w:fldChar w:fldCharType="separate"/>
      </w:r>
      <w:r w:rsidRPr="005E5E53">
        <w:rPr>
          <w:rStyle w:val="Hyperlink"/>
          <w:rFonts w:ascii="Calibri" w:eastAsia="Calibri" w:hAnsi="Calibri"/>
          <w:bCs/>
          <w:sz w:val="24"/>
          <w:szCs w:val="24"/>
          <w:vertAlign w:val="superscript"/>
          <w:lang w:val="en"/>
        </w:rPr>
        <w:t>2</w:t>
      </w:r>
      <w:r w:rsidRPr="005E5E53">
        <w:rPr>
          <w:rFonts w:ascii="Calibri" w:eastAsia="Calibri" w:hAnsi="Calibri" w:cs="Times New Roman"/>
          <w:bCs/>
          <w:color w:val="000000"/>
          <w:sz w:val="24"/>
          <w:szCs w:val="24"/>
        </w:rPr>
        <w:fldChar w:fldCharType="end"/>
      </w:r>
      <w:bookmarkEnd w:id="41"/>
      <w:r w:rsidRPr="005E5E53">
        <w:rPr>
          <w:rFonts w:ascii="Calibri" w:eastAsia="Calibri" w:hAnsi="Calibri" w:cs="Times New Roman"/>
          <w:bCs/>
          <w:color w:val="000000"/>
          <w:sz w:val="24"/>
          <w:szCs w:val="24"/>
          <w:lang w:val="en"/>
        </w:rPr>
        <w:t xml:space="preserve"> and consumer regulatory compliance professionals discussed current material risks to financial institutions, as well as related evolving supervisory expectations for mitigating those threats.</w:t>
      </w:r>
    </w:p>
    <w:p w:rsidR="0071614F" w:rsidRPr="000C7C83" w:rsidRDefault="0071614F"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52" w:history="1">
        <w:r w:rsidR="005E5E53" w:rsidRPr="005E5E53">
          <w:rPr>
            <w:rStyle w:val="Hyperlink"/>
            <w:rFonts w:ascii="Calibri" w:eastAsia="Calibri" w:hAnsi="Calibri"/>
            <w:b/>
            <w:bCs/>
            <w:sz w:val="24"/>
            <w:szCs w:val="24"/>
          </w:rPr>
          <w:t>link</w:t>
        </w:r>
      </w:hyperlink>
      <w:r w:rsidR="005E5E53">
        <w:rPr>
          <w:rFonts w:ascii="Calibri" w:eastAsia="Calibri" w:hAnsi="Calibri" w:cs="Times New Roman"/>
          <w:b/>
          <w:bCs/>
          <w:color w:val="000000"/>
          <w:sz w:val="24"/>
          <w:szCs w:val="24"/>
        </w:rPr>
        <w:t xml:space="preserve">. </w:t>
      </w:r>
    </w:p>
    <w:p w:rsidR="0071614F" w:rsidRDefault="0071614F" w:rsidP="00923CEF">
      <w:pPr>
        <w:spacing w:before="120" w:after="120" w:line="259" w:lineRule="auto"/>
        <w:rPr>
          <w:rFonts w:ascii="Calibri" w:eastAsia="Calibri" w:hAnsi="Calibri" w:cs="Times New Roman"/>
          <w:b/>
          <w:i/>
          <w:color w:val="002060"/>
          <w:sz w:val="24"/>
          <w:szCs w:val="24"/>
        </w:rPr>
      </w:pPr>
      <w:r w:rsidRPr="00323369">
        <w:rPr>
          <w:rFonts w:ascii="Calibri" w:eastAsia="Calibri" w:hAnsi="Calibri" w:cs="Times New Roman"/>
          <w:b/>
          <w:bCs/>
          <w:i/>
          <w:color w:val="002060"/>
          <w:sz w:val="24"/>
          <w:szCs w:val="24"/>
        </w:rPr>
        <w:t>Comment:</w:t>
      </w:r>
      <w:r w:rsidRPr="00323369">
        <w:rPr>
          <w:rFonts w:ascii="Calibri" w:eastAsia="Calibri" w:hAnsi="Calibri" w:cs="Times New Roman"/>
          <w:b/>
          <w:i/>
          <w:color w:val="002060"/>
          <w:sz w:val="24"/>
          <w:szCs w:val="24"/>
        </w:rPr>
        <w:t xml:space="preserve"> </w:t>
      </w:r>
      <w:r w:rsidR="003F32F8">
        <w:rPr>
          <w:rFonts w:ascii="Calibri" w:eastAsia="Calibri" w:hAnsi="Calibri" w:cs="Times New Roman"/>
          <w:b/>
          <w:i/>
          <w:color w:val="002060"/>
          <w:sz w:val="24"/>
          <w:szCs w:val="24"/>
        </w:rPr>
        <w:t xml:space="preserve">From Governor Lael Brainard – </w:t>
      </w:r>
      <w:r w:rsidR="00923CEF">
        <w:rPr>
          <w:rFonts w:ascii="Calibri" w:eastAsia="Calibri" w:hAnsi="Calibri" w:cs="Times New Roman"/>
          <w:b/>
          <w:i/>
          <w:color w:val="002060"/>
          <w:sz w:val="24"/>
          <w:szCs w:val="24"/>
        </w:rPr>
        <w:t>‘</w:t>
      </w:r>
      <w:r w:rsidR="000C59A1" w:rsidRPr="000C59A1">
        <w:rPr>
          <w:rFonts w:ascii="Calibri" w:eastAsia="Calibri" w:hAnsi="Calibri" w:cs="Times New Roman"/>
          <w:b/>
          <w:i/>
          <w:color w:val="002060"/>
          <w:sz w:val="24"/>
          <w:szCs w:val="24"/>
        </w:rPr>
        <w:t>Today many economies around the world are experiencing synchronized growth, in contrast to the 2015</w:t>
      </w:r>
      <w:r w:rsidR="000C59A1" w:rsidRPr="000C59A1">
        <w:rPr>
          <w:rFonts w:ascii="Calibri" w:eastAsia="Calibri" w:hAnsi="Calibri" w:cs="Times New Roman"/>
          <w:b/>
          <w:i/>
          <w:color w:val="002060"/>
          <w:sz w:val="24"/>
          <w:szCs w:val="24"/>
        </w:rPr>
        <w:softHyphen/>
        <w:t xml:space="preserve">-16 </w:t>
      </w:r>
      <w:proofErr w:type="gramStart"/>
      <w:r w:rsidR="000C59A1" w:rsidRPr="000C59A1">
        <w:rPr>
          <w:rFonts w:ascii="Calibri" w:eastAsia="Calibri" w:hAnsi="Calibri" w:cs="Times New Roman"/>
          <w:b/>
          <w:i/>
          <w:color w:val="002060"/>
          <w:sz w:val="24"/>
          <w:szCs w:val="24"/>
        </w:rPr>
        <w:t>period</w:t>
      </w:r>
      <w:proofErr w:type="gramEnd"/>
      <w:r w:rsidR="000C59A1" w:rsidRPr="000C59A1">
        <w:rPr>
          <w:rFonts w:ascii="Calibri" w:eastAsia="Calibri" w:hAnsi="Calibri" w:cs="Times New Roman"/>
          <w:b/>
          <w:i/>
          <w:color w:val="002060"/>
          <w:sz w:val="24"/>
          <w:szCs w:val="24"/>
        </w:rPr>
        <w:t xml:space="preserve"> when important foreign economies experienced adverse shocks and anemic demand. The International Monetary Fund revised up its outlook for the world economy in January, continuing a recent pattern of upward revisions, in contrast to a string of downward </w:t>
      </w:r>
      <w:r w:rsidR="000C59A1" w:rsidRPr="000C59A1">
        <w:rPr>
          <w:rFonts w:ascii="Calibri" w:eastAsia="Calibri" w:hAnsi="Calibri" w:cs="Times New Roman"/>
          <w:b/>
          <w:i/>
          <w:color w:val="002060"/>
          <w:sz w:val="24"/>
          <w:szCs w:val="24"/>
        </w:rPr>
        <w:lastRenderedPageBreak/>
        <w:t>revisions in 2015 and 2016.</w:t>
      </w:r>
      <w:hyperlink r:id="rId53" w:anchor="fn2" w:tooltip="footnote 2" w:history="1">
        <w:r w:rsidR="000C59A1" w:rsidRPr="000C59A1">
          <w:rPr>
            <w:rStyle w:val="Hyperlink"/>
            <w:rFonts w:ascii="Calibri" w:eastAsia="Calibri" w:hAnsi="Calibri"/>
            <w:sz w:val="24"/>
            <w:szCs w:val="24"/>
            <w:vertAlign w:val="superscript"/>
          </w:rPr>
          <w:t>2</w:t>
        </w:r>
      </w:hyperlink>
      <w:bookmarkStart w:id="42" w:name="f2"/>
      <w:bookmarkEnd w:id="42"/>
      <w:r w:rsidR="000C59A1" w:rsidRPr="000C59A1">
        <w:rPr>
          <w:rFonts w:ascii="Calibri" w:eastAsia="Calibri" w:hAnsi="Calibri" w:cs="Times New Roman"/>
          <w:b/>
          <w:i/>
          <w:color w:val="002060"/>
          <w:sz w:val="24"/>
          <w:szCs w:val="24"/>
        </w:rPr>
        <w:t> Stronger economies abroad should increase demand for America</w:t>
      </w:r>
      <w:r w:rsidR="00923CEF">
        <w:rPr>
          <w:rFonts w:ascii="Calibri" w:eastAsia="Calibri" w:hAnsi="Calibri" w:cs="Times New Roman"/>
          <w:b/>
          <w:i/>
          <w:color w:val="002060"/>
          <w:sz w:val="24"/>
          <w:szCs w:val="24"/>
        </w:rPr>
        <w:t>’</w:t>
      </w:r>
      <w:r w:rsidR="000C59A1" w:rsidRPr="000C59A1">
        <w:rPr>
          <w:rFonts w:ascii="Calibri" w:eastAsia="Calibri" w:hAnsi="Calibri" w:cs="Times New Roman"/>
          <w:b/>
          <w:i/>
          <w:color w:val="002060"/>
          <w:sz w:val="24"/>
          <w:szCs w:val="24"/>
        </w:rPr>
        <w:t>s exports and boost the foreign earnings of U.S. companies.</w:t>
      </w:r>
      <w:r w:rsidR="00923CEF">
        <w:rPr>
          <w:rFonts w:ascii="Calibri" w:eastAsia="Calibri" w:hAnsi="Calibri" w:cs="Times New Roman"/>
          <w:b/>
          <w:i/>
          <w:color w:val="002060"/>
          <w:sz w:val="24"/>
          <w:szCs w:val="24"/>
        </w:rPr>
        <w:t>’</w:t>
      </w:r>
    </w:p>
    <w:p w:rsidR="003F2699" w:rsidRDefault="003F2699" w:rsidP="00923CEF">
      <w:pPr>
        <w:spacing w:before="120" w:after="120" w:line="259" w:lineRule="auto"/>
        <w:rPr>
          <w:rFonts w:ascii="Calibri" w:eastAsia="Calibri" w:hAnsi="Calibri" w:cs="Times New Roman"/>
          <w:b/>
          <w:i/>
          <w:color w:val="002060"/>
          <w:sz w:val="24"/>
          <w:szCs w:val="24"/>
        </w:rPr>
      </w:pPr>
    </w:p>
    <w:p w:rsidR="00963E95" w:rsidRPr="000C7C83" w:rsidRDefault="00963E95" w:rsidP="00923CEF">
      <w:pPr>
        <w:spacing w:before="120" w:after="120" w:line="259" w:lineRule="auto"/>
        <w:rPr>
          <w:rFonts w:ascii="Calibri" w:eastAsia="Calibri" w:hAnsi="Calibri" w:cs="Times New Roman"/>
          <w:b/>
          <w:bCs/>
          <w:i/>
          <w:color w:val="000000" w:themeColor="text1"/>
          <w:sz w:val="24"/>
          <w:szCs w:val="24"/>
        </w:rPr>
      </w:pPr>
      <w:r w:rsidRPr="00963E95">
        <w:rPr>
          <w:rFonts w:ascii="Calibri" w:eastAsia="Calibri" w:hAnsi="Calibri" w:cs="Times New Roman"/>
          <w:b/>
          <w:bCs/>
          <w:i/>
          <w:color w:val="000000" w:themeColor="text1"/>
          <w:sz w:val="24"/>
          <w:szCs w:val="24"/>
        </w:rPr>
        <w:t xml:space="preserve">The Impact of the Current Expected Credit Loss Standard on the Timing and Comparability of Reserves </w:t>
      </w:r>
      <w:r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03.09.2018</w:t>
      </w:r>
      <w:r w:rsidRPr="000C7C83">
        <w:rPr>
          <w:rFonts w:ascii="Calibri" w:eastAsia="Calibri" w:hAnsi="Calibri" w:cs="Times New Roman"/>
          <w:b/>
          <w:bCs/>
          <w:i/>
          <w:color w:val="000000" w:themeColor="text1"/>
          <w:sz w:val="24"/>
          <w:szCs w:val="24"/>
        </w:rPr>
        <w:t>)</w:t>
      </w:r>
    </w:p>
    <w:p w:rsidR="00D77E59" w:rsidRPr="00D77E59" w:rsidRDefault="00937E2F" w:rsidP="00923CEF">
      <w:pPr>
        <w:autoSpaceDE w:val="0"/>
        <w:autoSpaceDN w:val="0"/>
        <w:adjustRightInd w:val="0"/>
        <w:spacing w:before="120" w:after="120" w:line="259" w:lineRule="auto"/>
        <w:rPr>
          <w:rFonts w:cs="TimesNewRomanPS-BoldMT"/>
          <w:b/>
          <w:bCs/>
          <w:sz w:val="24"/>
          <w:szCs w:val="24"/>
        </w:rPr>
      </w:pPr>
      <w:r w:rsidRPr="009F0ADC">
        <w:rPr>
          <w:rFonts w:cs="TimesNewRomanPS-BoldMT"/>
          <w:bCs/>
          <w:sz w:val="24"/>
          <w:szCs w:val="24"/>
        </w:rPr>
        <w:t>Abstract</w:t>
      </w:r>
      <w:r w:rsidR="00D77E59">
        <w:rPr>
          <w:rFonts w:cs="TimesNewRomanPS-BoldMT"/>
          <w:b/>
          <w:bCs/>
          <w:sz w:val="24"/>
          <w:szCs w:val="24"/>
        </w:rPr>
        <w:t xml:space="preserve"> - </w:t>
      </w:r>
      <w:r w:rsidRPr="00D77E59">
        <w:rPr>
          <w:rFonts w:cs="TimesNewRomanPSMT"/>
          <w:sz w:val="24"/>
          <w:szCs w:val="24"/>
        </w:rPr>
        <w:t>The new forward-looking credit loss provisioning standard, CECL, is intended to promote proactive provisioning as loan loss reserves can be conditioned on expectations</w:t>
      </w:r>
      <w:r w:rsidR="00D77E59" w:rsidRPr="00D77E59">
        <w:rPr>
          <w:rFonts w:cs="TimesNewRomanPSMT"/>
          <w:sz w:val="24"/>
          <w:szCs w:val="24"/>
        </w:rPr>
        <w:t xml:space="preserve"> </w:t>
      </w:r>
      <w:r w:rsidRPr="00D77E59">
        <w:rPr>
          <w:rFonts w:cs="TimesNewRomanPSMT"/>
          <w:sz w:val="24"/>
          <w:szCs w:val="24"/>
        </w:rPr>
        <w:t>of the economic cycle. We study the degree to which one modeling decision–expectations about the path of future house prices – affects the size and timing of</w:t>
      </w:r>
      <w:r w:rsidR="00D77E59" w:rsidRPr="00D77E59">
        <w:rPr>
          <w:rFonts w:cs="TimesNewRomanPSMT"/>
          <w:sz w:val="24"/>
          <w:szCs w:val="24"/>
        </w:rPr>
        <w:t xml:space="preserve"> </w:t>
      </w:r>
      <w:r w:rsidRPr="00D77E59">
        <w:rPr>
          <w:rFonts w:cs="TimesNewRomanPSMT"/>
          <w:sz w:val="24"/>
          <w:szCs w:val="24"/>
        </w:rPr>
        <w:t>provisions for first-lien residential mortgage portfolios. While we find that provisions are</w:t>
      </w:r>
      <w:r w:rsidR="00D77E59" w:rsidRPr="00D77E59">
        <w:rPr>
          <w:rFonts w:cs="TimesNewRomanPSMT"/>
          <w:sz w:val="24"/>
          <w:szCs w:val="24"/>
        </w:rPr>
        <w:t xml:space="preserve"> </w:t>
      </w:r>
      <w:r w:rsidRPr="00D77E59">
        <w:rPr>
          <w:rFonts w:cs="TimesNewRomanPSMT"/>
          <w:sz w:val="24"/>
          <w:szCs w:val="24"/>
        </w:rPr>
        <w:t>generally less pro-cyclical compared to the current incurred loss standard, CECL may</w:t>
      </w:r>
      <w:r w:rsidR="00D77E59" w:rsidRPr="00D77E59">
        <w:rPr>
          <w:rFonts w:cs="TimesNewRomanPSMT"/>
          <w:sz w:val="24"/>
          <w:szCs w:val="24"/>
        </w:rPr>
        <w:t xml:space="preserve"> </w:t>
      </w:r>
      <w:r w:rsidRPr="00D77E59">
        <w:rPr>
          <w:rFonts w:cs="TimesNewRomanPSMT"/>
          <w:sz w:val="24"/>
          <w:szCs w:val="24"/>
        </w:rPr>
        <w:t>complicate the comparability of provisions across banks and time. Market participants</w:t>
      </w:r>
      <w:r w:rsidR="00D77E59" w:rsidRPr="00D77E59">
        <w:rPr>
          <w:rFonts w:cs="TimesNewRomanPSMT"/>
          <w:sz w:val="24"/>
          <w:szCs w:val="24"/>
        </w:rPr>
        <w:t xml:space="preserve"> </w:t>
      </w:r>
      <w:r w:rsidRPr="00D77E59">
        <w:rPr>
          <w:rFonts w:cs="TimesNewRomanPSMT"/>
          <w:sz w:val="24"/>
          <w:szCs w:val="24"/>
        </w:rPr>
        <w:t>will need to disentangle the degree to which variation in provisions across firms is driven</w:t>
      </w:r>
      <w:r w:rsidR="00D77E59" w:rsidRPr="00D77E59">
        <w:rPr>
          <w:rFonts w:cs="TimesNewRomanPSMT"/>
          <w:sz w:val="24"/>
          <w:szCs w:val="24"/>
        </w:rPr>
        <w:t xml:space="preserve"> </w:t>
      </w:r>
      <w:r w:rsidRPr="00D77E59">
        <w:rPr>
          <w:rFonts w:cs="TimesNewRomanPSMT"/>
          <w:sz w:val="24"/>
          <w:szCs w:val="24"/>
        </w:rPr>
        <w:t>by underlying risk versus differences in modeling assumptions.</w:t>
      </w:r>
    </w:p>
    <w:p w:rsidR="00963E95" w:rsidRPr="00D77E59" w:rsidRDefault="00963E95" w:rsidP="00923CEF">
      <w:pPr>
        <w:autoSpaceDE w:val="0"/>
        <w:autoSpaceDN w:val="0"/>
        <w:adjustRightInd w:val="0"/>
        <w:spacing w:before="120" w:after="120" w:line="259" w:lineRule="auto"/>
        <w:rPr>
          <w:rFonts w:ascii="TimesNewRomanPSMT" w:hAnsi="TimesNewRomanPSMT" w:cs="TimesNewRomanPSMT"/>
        </w:rPr>
      </w:pPr>
      <w:r w:rsidRPr="000C7C83">
        <w:rPr>
          <w:rFonts w:ascii="Calibri" w:eastAsia="Calibri" w:hAnsi="Calibri" w:cs="Times New Roman"/>
          <w:b/>
          <w:bCs/>
          <w:color w:val="000000"/>
          <w:sz w:val="24"/>
          <w:szCs w:val="24"/>
        </w:rPr>
        <w:t xml:space="preserve">Source </w:t>
      </w:r>
      <w:hyperlink r:id="rId54" w:history="1">
        <w:r w:rsidRPr="005E5E53">
          <w:rPr>
            <w:rStyle w:val="Hyperlink"/>
            <w:rFonts w:ascii="Calibri" w:eastAsia="Calibri" w:hAnsi="Calibri"/>
            <w:b/>
            <w:bCs/>
            <w:sz w:val="24"/>
            <w:szCs w:val="24"/>
          </w:rPr>
          <w:t>link</w:t>
        </w:r>
      </w:hyperlink>
      <w:r>
        <w:rPr>
          <w:rFonts w:ascii="Calibri" w:eastAsia="Calibri" w:hAnsi="Calibri" w:cs="Times New Roman"/>
          <w:b/>
          <w:bCs/>
          <w:color w:val="000000"/>
          <w:sz w:val="24"/>
          <w:szCs w:val="24"/>
        </w:rPr>
        <w:t xml:space="preserve">. </w:t>
      </w:r>
    </w:p>
    <w:bookmarkEnd w:id="37"/>
    <w:bookmarkEnd w:id="38"/>
    <w:p w:rsidR="0061794F" w:rsidRPr="0061794F" w:rsidRDefault="0061794F" w:rsidP="00923CEF">
      <w:pPr>
        <w:spacing w:before="120" w:after="120" w:line="259" w:lineRule="auto"/>
        <w:rPr>
          <w:rFonts w:ascii="Calibri" w:eastAsia="Calibri" w:hAnsi="Calibri" w:cs="Times New Roman"/>
          <w:b/>
          <w:bCs/>
          <w:i/>
          <w:color w:val="000000" w:themeColor="text1"/>
          <w:sz w:val="24"/>
          <w:szCs w:val="24"/>
        </w:rPr>
      </w:pPr>
    </w:p>
    <w:p w:rsidR="0061794F" w:rsidRPr="000C7C83" w:rsidRDefault="0061794F" w:rsidP="00923CEF">
      <w:pPr>
        <w:spacing w:before="120" w:after="120" w:line="259" w:lineRule="auto"/>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 xml:space="preserve">Chicago Fed </w:t>
      </w:r>
      <w:r w:rsidRPr="0061794F">
        <w:rPr>
          <w:rFonts w:ascii="Calibri" w:eastAsia="Calibri" w:hAnsi="Calibri" w:cs="Times New Roman"/>
          <w:b/>
          <w:bCs/>
          <w:i/>
          <w:color w:val="000000" w:themeColor="text1"/>
          <w:sz w:val="24"/>
          <w:szCs w:val="24"/>
        </w:rPr>
        <w:t xml:space="preserve">Survey shows steady growth in January and early February </w:t>
      </w:r>
      <w:r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03.07.2018</w:t>
      </w:r>
      <w:r w:rsidRPr="000C7C83">
        <w:rPr>
          <w:rFonts w:ascii="Calibri" w:eastAsia="Calibri" w:hAnsi="Calibri" w:cs="Times New Roman"/>
          <w:b/>
          <w:bCs/>
          <w:i/>
          <w:color w:val="000000" w:themeColor="text1"/>
          <w:sz w:val="24"/>
          <w:szCs w:val="24"/>
        </w:rPr>
        <w:t>)</w:t>
      </w:r>
    </w:p>
    <w:p w:rsidR="0061794F" w:rsidRPr="0061794F" w:rsidRDefault="0061794F" w:rsidP="00923CEF">
      <w:pPr>
        <w:autoSpaceDE w:val="0"/>
        <w:autoSpaceDN w:val="0"/>
        <w:adjustRightInd w:val="0"/>
        <w:spacing w:before="120" w:after="120" w:line="259" w:lineRule="auto"/>
        <w:rPr>
          <w:rFonts w:cs="Helvetica LT Std Cond"/>
          <w:color w:val="000000"/>
          <w:sz w:val="24"/>
          <w:szCs w:val="24"/>
        </w:rPr>
      </w:pPr>
      <w:r w:rsidRPr="0061794F">
        <w:rPr>
          <w:rFonts w:cs="Helvetica LT Std Cond"/>
          <w:color w:val="000000"/>
          <w:sz w:val="24"/>
          <w:szCs w:val="24"/>
        </w:rPr>
        <w:t xml:space="preserve">The </w:t>
      </w:r>
      <w:r w:rsidRPr="0061794F">
        <w:rPr>
          <w:rFonts w:cs="Helvetica LT Std Cond"/>
          <w:i/>
          <w:iCs/>
          <w:color w:val="000000"/>
          <w:sz w:val="24"/>
          <w:szCs w:val="24"/>
        </w:rPr>
        <w:t xml:space="preserve">Chicago Fed Survey of Business Conditions </w:t>
      </w:r>
      <w:r w:rsidRPr="0061794F">
        <w:rPr>
          <w:rFonts w:cs="Helvetica LT Std Cond"/>
          <w:color w:val="000000"/>
          <w:sz w:val="24"/>
          <w:szCs w:val="24"/>
        </w:rPr>
        <w:t>(CFSBC) Activity Index edged down to +22 from +25, suggesting that growth in economic activity continued at a moderate pace in January and early February. The CFSBC Manufacturing Activity Index moved down to +38 from +49, and the CFSBC Nonmanufacturing Activity Index remained at +11.</w:t>
      </w:r>
    </w:p>
    <w:p w:rsidR="0061794F" w:rsidRPr="00923CEF" w:rsidRDefault="0061794F" w:rsidP="00923CEF">
      <w:pPr>
        <w:pStyle w:val="ListParagraph"/>
        <w:numPr>
          <w:ilvl w:val="0"/>
          <w:numId w:val="18"/>
        </w:numPr>
        <w:autoSpaceDE w:val="0"/>
        <w:autoSpaceDN w:val="0"/>
        <w:adjustRightInd w:val="0"/>
        <w:spacing w:before="120" w:after="120" w:line="259" w:lineRule="auto"/>
        <w:ind w:left="720"/>
        <w:contextualSpacing w:val="0"/>
        <w:rPr>
          <w:rFonts w:asciiTheme="minorHAnsi" w:hAnsiTheme="minorHAnsi" w:cstheme="minorHAnsi"/>
          <w:color w:val="000000"/>
        </w:rPr>
      </w:pPr>
      <w:r w:rsidRPr="00923CEF">
        <w:rPr>
          <w:rFonts w:asciiTheme="minorHAnsi" w:hAnsiTheme="minorHAnsi" w:cstheme="minorHAnsi"/>
          <w:color w:val="000000"/>
        </w:rPr>
        <w:t>Respondents</w:t>
      </w:r>
      <w:r w:rsidR="00923CEF" w:rsidRPr="00923CEF">
        <w:rPr>
          <w:rFonts w:asciiTheme="minorHAnsi" w:hAnsiTheme="minorHAnsi" w:cstheme="minorHAnsi"/>
          <w:color w:val="000000"/>
        </w:rPr>
        <w:t>’</w:t>
      </w:r>
      <w:r w:rsidRPr="00923CEF">
        <w:rPr>
          <w:rFonts w:asciiTheme="minorHAnsi" w:hAnsiTheme="minorHAnsi" w:cstheme="minorHAnsi"/>
          <w:color w:val="000000"/>
        </w:rPr>
        <w:t xml:space="preserve"> outlooks for the U.S. economy for the next six to 12 months deteriorated some, but remained quite optimistic on balance. Respondents with optimistic outlooks highlighted the federal tax reform, good economic data, and increased demand for their firms</w:t>
      </w:r>
      <w:r w:rsidR="00923CEF" w:rsidRPr="00923CEF">
        <w:rPr>
          <w:rFonts w:asciiTheme="minorHAnsi" w:hAnsiTheme="minorHAnsi" w:cstheme="minorHAnsi"/>
          <w:color w:val="000000"/>
        </w:rPr>
        <w:t>’</w:t>
      </w:r>
      <w:r w:rsidRPr="00923CEF">
        <w:rPr>
          <w:rFonts w:asciiTheme="minorHAnsi" w:hAnsiTheme="minorHAnsi" w:cstheme="minorHAnsi"/>
          <w:color w:val="000000"/>
        </w:rPr>
        <w:t xml:space="preserve"> products. Respondents with pessimistic outlooks were concerned that rising interest rates could slow short-term growth and that the rising federal deficit could slow long-term growth.</w:t>
      </w:r>
    </w:p>
    <w:p w:rsidR="0061794F" w:rsidRPr="00923CEF" w:rsidRDefault="0061794F" w:rsidP="00923CEF">
      <w:pPr>
        <w:pStyle w:val="ListParagraph"/>
        <w:numPr>
          <w:ilvl w:val="0"/>
          <w:numId w:val="18"/>
        </w:numPr>
        <w:autoSpaceDE w:val="0"/>
        <w:autoSpaceDN w:val="0"/>
        <w:adjustRightInd w:val="0"/>
        <w:spacing w:before="120" w:after="120" w:line="259" w:lineRule="auto"/>
        <w:ind w:left="720"/>
        <w:contextualSpacing w:val="0"/>
        <w:rPr>
          <w:rFonts w:asciiTheme="minorHAnsi" w:hAnsiTheme="minorHAnsi" w:cstheme="minorHAnsi"/>
          <w:color w:val="000000"/>
        </w:rPr>
      </w:pPr>
      <w:r w:rsidRPr="00923CEF">
        <w:rPr>
          <w:rFonts w:asciiTheme="minorHAnsi" w:hAnsiTheme="minorHAnsi" w:cstheme="minorHAnsi"/>
          <w:color w:val="000000"/>
        </w:rPr>
        <w:t>The pace of current hiring picked up, as did respondents</w:t>
      </w:r>
      <w:r w:rsidR="00923CEF" w:rsidRPr="00923CEF">
        <w:rPr>
          <w:rFonts w:asciiTheme="minorHAnsi" w:hAnsiTheme="minorHAnsi" w:cstheme="minorHAnsi"/>
          <w:color w:val="000000"/>
        </w:rPr>
        <w:t>’</w:t>
      </w:r>
      <w:r w:rsidRPr="00923CEF">
        <w:rPr>
          <w:rFonts w:asciiTheme="minorHAnsi" w:hAnsiTheme="minorHAnsi" w:cstheme="minorHAnsi"/>
          <w:color w:val="000000"/>
        </w:rPr>
        <w:t xml:space="preserve"> expectations for the pace of hiring over the next six to 12 months. The hiring index rose to a neutral level, and the hiring expectations index moved into positive territory.</w:t>
      </w:r>
    </w:p>
    <w:p w:rsidR="0061794F" w:rsidRPr="00923CEF" w:rsidRDefault="0061794F" w:rsidP="00923CEF">
      <w:pPr>
        <w:pStyle w:val="ListParagraph"/>
        <w:numPr>
          <w:ilvl w:val="0"/>
          <w:numId w:val="18"/>
        </w:numPr>
        <w:autoSpaceDE w:val="0"/>
        <w:autoSpaceDN w:val="0"/>
        <w:adjustRightInd w:val="0"/>
        <w:spacing w:before="120" w:after="120" w:line="259" w:lineRule="auto"/>
        <w:ind w:left="720"/>
        <w:contextualSpacing w:val="0"/>
        <w:rPr>
          <w:rFonts w:asciiTheme="minorHAnsi" w:hAnsiTheme="minorHAnsi" w:cstheme="minorHAnsi"/>
          <w:color w:val="000000"/>
        </w:rPr>
      </w:pPr>
      <w:r w:rsidRPr="00923CEF">
        <w:rPr>
          <w:rFonts w:asciiTheme="minorHAnsi" w:hAnsiTheme="minorHAnsi" w:cstheme="minorHAnsi"/>
          <w:color w:val="000000"/>
        </w:rPr>
        <w:t>The pace of current capital spending increased, but respondents</w:t>
      </w:r>
      <w:r w:rsidR="00923CEF" w:rsidRPr="00923CEF">
        <w:rPr>
          <w:rFonts w:asciiTheme="minorHAnsi" w:hAnsiTheme="minorHAnsi" w:cstheme="minorHAnsi"/>
          <w:color w:val="000000"/>
        </w:rPr>
        <w:t>’</w:t>
      </w:r>
      <w:r w:rsidRPr="00923CEF">
        <w:rPr>
          <w:rFonts w:asciiTheme="minorHAnsi" w:hAnsiTheme="minorHAnsi" w:cstheme="minorHAnsi"/>
          <w:color w:val="000000"/>
        </w:rPr>
        <w:t xml:space="preserve"> expectations for the pace of capital spending over the next six to 12 months declined some. While the current capital spending index remained negative, the capital spending expectations index stayed positive.</w:t>
      </w:r>
    </w:p>
    <w:p w:rsidR="0061794F" w:rsidRPr="00923CEF" w:rsidRDefault="0061794F" w:rsidP="00923CEF">
      <w:pPr>
        <w:pStyle w:val="ListParagraph"/>
        <w:numPr>
          <w:ilvl w:val="0"/>
          <w:numId w:val="18"/>
        </w:numPr>
        <w:autoSpaceDE w:val="0"/>
        <w:autoSpaceDN w:val="0"/>
        <w:adjustRightInd w:val="0"/>
        <w:spacing w:before="120" w:after="120" w:line="259" w:lineRule="auto"/>
        <w:ind w:left="720"/>
        <w:contextualSpacing w:val="0"/>
        <w:rPr>
          <w:rFonts w:asciiTheme="minorHAnsi" w:hAnsiTheme="minorHAnsi" w:cstheme="minorHAnsi"/>
          <w:color w:val="000000"/>
        </w:rPr>
      </w:pPr>
      <w:r w:rsidRPr="00923CEF">
        <w:rPr>
          <w:rFonts w:asciiTheme="minorHAnsi" w:hAnsiTheme="minorHAnsi" w:cstheme="minorHAnsi"/>
          <w:color w:val="000000"/>
        </w:rPr>
        <w:t>The wage cost pressures index decreased and moved into negative territory. In contrast, the nonwage cost pressures index increased and continued to be positive.</w:t>
      </w:r>
    </w:p>
    <w:p w:rsidR="0061794F" w:rsidRPr="00D77E59" w:rsidRDefault="0061794F" w:rsidP="00923CEF">
      <w:pPr>
        <w:autoSpaceDE w:val="0"/>
        <w:autoSpaceDN w:val="0"/>
        <w:adjustRightInd w:val="0"/>
        <w:spacing w:before="120" w:after="120" w:line="259" w:lineRule="auto"/>
        <w:rPr>
          <w:rFonts w:ascii="TimesNewRomanPSMT" w:hAnsi="TimesNewRomanPSMT" w:cs="TimesNewRomanPSMT"/>
        </w:rPr>
      </w:pPr>
      <w:r w:rsidRPr="000C7C83">
        <w:rPr>
          <w:rFonts w:ascii="Calibri" w:eastAsia="Calibri" w:hAnsi="Calibri" w:cs="Times New Roman"/>
          <w:b/>
          <w:bCs/>
          <w:color w:val="000000"/>
          <w:sz w:val="24"/>
          <w:szCs w:val="24"/>
        </w:rPr>
        <w:t xml:space="preserve">Source </w:t>
      </w:r>
      <w:hyperlink r:id="rId55" w:history="1">
        <w:r w:rsidRPr="005E5E53">
          <w:rPr>
            <w:rStyle w:val="Hyperlink"/>
            <w:rFonts w:ascii="Calibri" w:eastAsia="Calibri" w:hAnsi="Calibri"/>
            <w:b/>
            <w:bCs/>
            <w:sz w:val="24"/>
            <w:szCs w:val="24"/>
          </w:rPr>
          <w:t>link</w:t>
        </w:r>
      </w:hyperlink>
      <w:r>
        <w:rPr>
          <w:rFonts w:ascii="Calibri" w:eastAsia="Calibri" w:hAnsi="Calibri" w:cs="Times New Roman"/>
          <w:b/>
          <w:bCs/>
          <w:color w:val="000000"/>
          <w:sz w:val="24"/>
          <w:szCs w:val="24"/>
        </w:rPr>
        <w:t xml:space="preserve">. </w:t>
      </w:r>
    </w:p>
    <w:p w:rsidR="009605B3" w:rsidRDefault="009605B3" w:rsidP="00923CEF">
      <w:pPr>
        <w:spacing w:before="120" w:after="120" w:line="259" w:lineRule="auto"/>
        <w:rPr>
          <w:rFonts w:ascii="Calibri" w:eastAsia="Calibri" w:hAnsi="Calibri" w:cs="Times New Roman"/>
          <w:b/>
          <w:i/>
          <w:color w:val="002060"/>
          <w:sz w:val="24"/>
          <w:szCs w:val="24"/>
        </w:rPr>
      </w:pPr>
    </w:p>
    <w:p w:rsidR="008657DE" w:rsidRPr="000C7C83" w:rsidRDefault="008657DE" w:rsidP="00923CEF">
      <w:pPr>
        <w:spacing w:before="120" w:after="120" w:line="259" w:lineRule="auto"/>
        <w:rPr>
          <w:rFonts w:ascii="Calibri" w:eastAsia="Calibri" w:hAnsi="Calibri" w:cs="Times New Roman"/>
          <w:b/>
          <w:bCs/>
          <w:i/>
          <w:color w:val="000000" w:themeColor="text1"/>
          <w:sz w:val="24"/>
          <w:szCs w:val="24"/>
        </w:rPr>
      </w:pPr>
      <w:r w:rsidRPr="00944118">
        <w:rPr>
          <w:rFonts w:ascii="Calibri" w:eastAsia="Calibri" w:hAnsi="Calibri" w:cs="Times New Roman"/>
          <w:b/>
          <w:bCs/>
          <w:i/>
          <w:color w:val="000000" w:themeColor="text1"/>
          <w:sz w:val="24"/>
          <w:szCs w:val="24"/>
        </w:rPr>
        <w:t>Seizing the Opportunity for Equitable and Inclusive Redevelopment: Galveston</w:t>
      </w:r>
      <w:r w:rsidR="00923CEF">
        <w:rPr>
          <w:rFonts w:ascii="Calibri" w:eastAsia="Calibri" w:hAnsi="Calibri" w:cs="Times New Roman"/>
          <w:b/>
          <w:bCs/>
          <w:i/>
          <w:color w:val="000000" w:themeColor="text1"/>
          <w:sz w:val="24"/>
          <w:szCs w:val="24"/>
        </w:rPr>
        <w:t>’</w:t>
      </w:r>
      <w:r w:rsidRPr="00944118">
        <w:rPr>
          <w:rFonts w:ascii="Calibri" w:eastAsia="Calibri" w:hAnsi="Calibri" w:cs="Times New Roman"/>
          <w:b/>
          <w:bCs/>
          <w:i/>
          <w:color w:val="000000" w:themeColor="text1"/>
          <w:sz w:val="24"/>
          <w:szCs w:val="24"/>
        </w:rPr>
        <w:t>s Trials After Hurricane Ike Offer Lessons for Other Communities</w:t>
      </w:r>
      <w:r>
        <w:rPr>
          <w:rFonts w:ascii="Calibri" w:eastAsia="Calibri" w:hAnsi="Calibri" w:cs="Times New Roman"/>
          <w:b/>
          <w:bCs/>
          <w:i/>
          <w:color w:val="000000" w:themeColor="text1"/>
          <w:sz w:val="24"/>
          <w:szCs w:val="24"/>
        </w:rPr>
        <w:t xml:space="preserve"> </w:t>
      </w:r>
      <w:r w:rsidRPr="000C7C8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03.01.2018</w:t>
      </w:r>
      <w:r w:rsidRPr="000C7C83">
        <w:rPr>
          <w:rFonts w:ascii="Calibri" w:eastAsia="Calibri" w:hAnsi="Calibri" w:cs="Times New Roman"/>
          <w:b/>
          <w:bCs/>
          <w:i/>
          <w:color w:val="000000" w:themeColor="text1"/>
          <w:sz w:val="24"/>
          <w:szCs w:val="24"/>
        </w:rPr>
        <w:t>)</w:t>
      </w:r>
    </w:p>
    <w:p w:rsidR="008657DE" w:rsidRPr="008657DE" w:rsidRDefault="008657DE" w:rsidP="00923CEF">
      <w:pPr>
        <w:spacing w:before="120" w:after="120" w:line="259" w:lineRule="auto"/>
        <w:rPr>
          <w:rFonts w:ascii="Calibri" w:eastAsia="Calibri" w:hAnsi="Calibri" w:cs="Times New Roman"/>
          <w:bCs/>
          <w:color w:val="000000"/>
          <w:sz w:val="24"/>
          <w:szCs w:val="24"/>
        </w:rPr>
      </w:pPr>
      <w:r w:rsidRPr="008657DE">
        <w:rPr>
          <w:rFonts w:ascii="Calibri" w:eastAsia="Calibri" w:hAnsi="Calibri" w:cs="Times New Roman"/>
          <w:bCs/>
          <w:color w:val="000000"/>
          <w:sz w:val="24"/>
          <w:szCs w:val="24"/>
        </w:rPr>
        <w:t xml:space="preserve">This report focuses on Galveston, Texas, and the redevelopment of affordable public housing units following Hurricane Ike in September 2008. Nearly 10 years later, many low- and moderate-income neighborhoods and </w:t>
      </w:r>
      <w:r w:rsidRPr="008657DE">
        <w:rPr>
          <w:rFonts w:ascii="Calibri" w:eastAsia="Calibri" w:hAnsi="Calibri" w:cs="Times New Roman"/>
          <w:bCs/>
          <w:color w:val="000000"/>
          <w:sz w:val="24"/>
          <w:szCs w:val="24"/>
        </w:rPr>
        <w:lastRenderedPageBreak/>
        <w:t>affordable homes that once existed have not been rebuilt or replaced. The result is a community that is less economically diverse and likely to face serious workforce challenges in the coming years as it seeks to compete in one of the fastest-growing regions of the nation. While this report is about Hurricane Ike, Hurricane Harvey has given the story of Galveston</w:t>
      </w:r>
      <w:r w:rsidR="00923CEF">
        <w:rPr>
          <w:rFonts w:ascii="Calibri" w:eastAsia="Calibri" w:hAnsi="Calibri" w:cs="Times New Roman"/>
          <w:bCs/>
          <w:color w:val="000000"/>
          <w:sz w:val="24"/>
          <w:szCs w:val="24"/>
        </w:rPr>
        <w:t>’</w:t>
      </w:r>
      <w:r w:rsidRPr="008657DE">
        <w:rPr>
          <w:rFonts w:ascii="Calibri" w:eastAsia="Calibri" w:hAnsi="Calibri" w:cs="Times New Roman"/>
          <w:bCs/>
          <w:color w:val="000000"/>
          <w:sz w:val="24"/>
          <w:szCs w:val="24"/>
        </w:rPr>
        <w:t>s redevelopment new relevance. The lessons learned can serve to inform individuals and communities recovering from natural disasters across the U.S.</w:t>
      </w:r>
    </w:p>
    <w:p w:rsidR="008657DE" w:rsidRPr="008657DE" w:rsidRDefault="00CC73A1" w:rsidP="00923CEF">
      <w:pPr>
        <w:spacing w:before="120" w:after="120" w:line="259" w:lineRule="auto"/>
        <w:rPr>
          <w:rFonts w:ascii="Calibri" w:eastAsia="Calibri" w:hAnsi="Calibri" w:cs="Times New Roman"/>
          <w:bCs/>
          <w:color w:val="000000"/>
          <w:sz w:val="24"/>
          <w:szCs w:val="24"/>
        </w:rPr>
      </w:pPr>
      <w:hyperlink r:id="rId56" w:history="1">
        <w:r w:rsidR="008657DE" w:rsidRPr="008657DE">
          <w:rPr>
            <w:rStyle w:val="Hyperlink"/>
            <w:rFonts w:ascii="Calibri" w:eastAsia="Calibri" w:hAnsi="Calibri"/>
            <w:bCs/>
            <w:sz w:val="24"/>
            <w:szCs w:val="24"/>
          </w:rPr>
          <w:t>Read the full report</w:t>
        </w:r>
      </w:hyperlink>
      <w:r w:rsidR="008657DE" w:rsidRPr="008657DE">
        <w:rPr>
          <w:rFonts w:ascii="Calibri" w:eastAsia="Calibri" w:hAnsi="Calibri" w:cs="Times New Roman"/>
          <w:bCs/>
          <w:color w:val="000000"/>
          <w:sz w:val="24"/>
          <w:szCs w:val="24"/>
        </w:rPr>
        <w:t> | </w:t>
      </w:r>
      <w:hyperlink r:id="rId57" w:history="1">
        <w:r w:rsidR="008657DE" w:rsidRPr="008657DE">
          <w:rPr>
            <w:rStyle w:val="Hyperlink"/>
            <w:rFonts w:ascii="Calibri" w:eastAsia="Calibri" w:hAnsi="Calibri"/>
            <w:bCs/>
            <w:sz w:val="24"/>
            <w:szCs w:val="24"/>
          </w:rPr>
          <w:t>See all affordable-housing-related articles</w:t>
        </w:r>
      </w:hyperlink>
    </w:p>
    <w:p w:rsidR="008657DE" w:rsidRPr="000C7C83" w:rsidRDefault="008657DE" w:rsidP="00923CEF">
      <w:pPr>
        <w:spacing w:before="120" w:after="120" w:line="259" w:lineRule="auto"/>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58" w:history="1">
        <w:r w:rsidRPr="005E5E53">
          <w:rPr>
            <w:rStyle w:val="Hyperlink"/>
            <w:rFonts w:ascii="Calibri" w:eastAsia="Calibri" w:hAnsi="Calibri"/>
            <w:b/>
            <w:bCs/>
            <w:sz w:val="24"/>
            <w:szCs w:val="24"/>
          </w:rPr>
          <w:t>link</w:t>
        </w:r>
      </w:hyperlink>
      <w:r>
        <w:rPr>
          <w:rFonts w:ascii="Calibri" w:eastAsia="Calibri" w:hAnsi="Calibri" w:cs="Times New Roman"/>
          <w:b/>
          <w:bCs/>
          <w:color w:val="000000"/>
          <w:sz w:val="24"/>
          <w:szCs w:val="24"/>
        </w:rPr>
        <w:t xml:space="preserve">. </w:t>
      </w:r>
    </w:p>
    <w:p w:rsidR="00FC00EF" w:rsidRPr="00436AD8" w:rsidRDefault="00FC00EF" w:rsidP="00923CEF">
      <w:pPr>
        <w:pStyle w:val="CCTOCHeading"/>
        <w:spacing w:line="259" w:lineRule="auto"/>
        <w:rPr>
          <w:rFonts w:asciiTheme="minorHAnsi" w:hAnsiTheme="minorHAnsi" w:cstheme="minorHAnsi"/>
        </w:rPr>
      </w:pPr>
      <w:bookmarkStart w:id="43" w:name="_Toc509412618"/>
      <w:r w:rsidRPr="00436AD8">
        <w:rPr>
          <w:rFonts w:asciiTheme="minorHAnsi" w:hAnsiTheme="minorHAnsi" w:cstheme="minorHAnsi"/>
        </w:rPr>
        <w:t>Selected</w:t>
      </w:r>
      <w:r w:rsidR="00B8557A" w:rsidRPr="00436AD8">
        <w:rPr>
          <w:rFonts w:asciiTheme="minorHAnsi" w:hAnsiTheme="minorHAnsi" w:cstheme="minorHAnsi"/>
        </w:rPr>
        <w:t xml:space="preserve"> </w:t>
      </w:r>
      <w:r w:rsidRPr="00436AD8">
        <w:rPr>
          <w:rFonts w:asciiTheme="minorHAnsi" w:hAnsiTheme="minorHAnsi" w:cstheme="minorHAnsi"/>
        </w:rPr>
        <w:t>federal</w:t>
      </w:r>
      <w:r w:rsidR="00B8557A" w:rsidRPr="00436AD8">
        <w:rPr>
          <w:rFonts w:asciiTheme="minorHAnsi" w:hAnsiTheme="minorHAnsi" w:cstheme="minorHAnsi"/>
        </w:rPr>
        <w:t xml:space="preserve"> </w:t>
      </w:r>
      <w:r w:rsidRPr="00436AD8">
        <w:rPr>
          <w:rFonts w:asciiTheme="minorHAnsi" w:hAnsiTheme="minorHAnsi" w:cstheme="minorHAnsi"/>
        </w:rPr>
        <w:t>rules</w:t>
      </w:r>
      <w:r w:rsidR="00B8557A" w:rsidRPr="00436AD8">
        <w:rPr>
          <w:rFonts w:asciiTheme="minorHAnsi" w:hAnsiTheme="minorHAnsi" w:cstheme="minorHAnsi"/>
        </w:rPr>
        <w:t xml:space="preserve"> </w:t>
      </w:r>
      <w:r w:rsidR="00141C47" w:rsidRPr="00436AD8">
        <w:rPr>
          <w:rFonts w:asciiTheme="minorHAnsi" w:hAnsiTheme="minorHAnsi" w:cstheme="minorHAnsi"/>
        </w:rPr>
        <w:t>–</w:t>
      </w:r>
      <w:r w:rsidR="00B8557A" w:rsidRPr="00436AD8">
        <w:rPr>
          <w:rFonts w:asciiTheme="minorHAnsi" w:hAnsiTheme="minorHAnsi" w:cstheme="minorHAnsi"/>
        </w:rPr>
        <w:t xml:space="preserve"> </w:t>
      </w:r>
      <w:r w:rsidRPr="00436AD8">
        <w:rPr>
          <w:rFonts w:asciiTheme="minorHAnsi" w:hAnsiTheme="minorHAnsi" w:cstheme="minorHAnsi"/>
        </w:rPr>
        <w:t>proposed</w:t>
      </w:r>
      <w:bookmarkEnd w:id="0"/>
      <w:bookmarkEnd w:id="39"/>
      <w:bookmarkEnd w:id="43"/>
    </w:p>
    <w:p w:rsidR="00FC00EF" w:rsidRPr="00436AD8" w:rsidRDefault="00FC00EF" w:rsidP="0036440E">
      <w:pPr>
        <w:pStyle w:val="CCIssuance"/>
        <w:rPr>
          <w:rFonts w:asciiTheme="minorHAnsi" w:hAnsiTheme="minorHAnsi" w:cstheme="minorHAnsi"/>
          <w:b w:val="0"/>
          <w:color w:val="auto"/>
          <w:sz w:val="22"/>
          <w:szCs w:val="22"/>
        </w:rPr>
      </w:pPr>
      <w:r w:rsidRPr="00436AD8">
        <w:rPr>
          <w:rFonts w:asciiTheme="minorHAnsi" w:hAnsiTheme="minorHAnsi" w:cstheme="minorHAnsi"/>
          <w:b w:val="0"/>
          <w:color w:val="auto"/>
          <w:sz w:val="22"/>
          <w:szCs w:val="22"/>
        </w:rPr>
        <w:t>Proposed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rules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are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included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only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when</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community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banks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may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want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to</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comment.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Date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posted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may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not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be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the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same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as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the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Federal</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Register</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Date.</w:t>
      </w:r>
      <w:r w:rsidR="00B8557A" w:rsidRPr="00436AD8">
        <w:rPr>
          <w:rFonts w:asciiTheme="minorHAnsi" w:hAnsiTheme="minorHAnsi" w:cstheme="minorHAnsi"/>
          <w:b w:val="0"/>
          <w:color w:val="auto"/>
          <w:sz w:val="22"/>
          <w:szCs w:val="22"/>
        </w:rPr>
        <w:t xml:space="preserve"> </w:t>
      </w:r>
    </w:p>
    <w:p w:rsidR="00FC00EF" w:rsidRPr="00E36FF6" w:rsidRDefault="00FC00EF" w:rsidP="0036440E">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rsidR="00FC00EF" w:rsidRPr="00E36FF6" w:rsidRDefault="00FC00EF" w:rsidP="0036440E">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OF</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PROPOSED</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RULE</w:t>
      </w:r>
    </w:p>
    <w:p w:rsidR="00FC00EF" w:rsidRPr="00E36FF6" w:rsidRDefault="00FC00EF" w:rsidP="0036440E">
      <w:pPr>
        <w:pStyle w:val="CCComment"/>
        <w:keepNext/>
        <w:ind w:left="1440" w:hanging="1440"/>
        <w:rPr>
          <w:rFonts w:asciiTheme="minorHAnsi" w:eastAsia="Times New Roman" w:hAnsiTheme="minorHAnsi" w:cstheme="minorHAnsi"/>
          <w:i w:val="0"/>
          <w:color w:val="auto"/>
          <w:sz w:val="18"/>
          <w:szCs w:val="18"/>
        </w:rPr>
      </w:pPr>
    </w:p>
    <w:p w:rsidR="007557D9" w:rsidRPr="00E36FF6" w:rsidRDefault="007557D9" w:rsidP="008D347F">
      <w:pPr>
        <w:autoSpaceDE w:val="0"/>
        <w:autoSpaceDN w:val="0"/>
        <w:adjustRightInd w:val="0"/>
        <w:ind w:left="1440" w:hanging="1440"/>
        <w:rPr>
          <w:rFonts w:cstheme="minorHAnsi"/>
          <w:sz w:val="18"/>
          <w:szCs w:val="18"/>
        </w:rPr>
      </w:pPr>
      <w:r w:rsidRPr="00E36FF6">
        <w:rPr>
          <w:rFonts w:cstheme="minorHAnsi"/>
          <w:sz w:val="18"/>
          <w:szCs w:val="18"/>
        </w:rPr>
        <w:t>08.22.2017</w:t>
      </w:r>
      <w:r w:rsidRPr="00E36FF6">
        <w:rPr>
          <w:rFonts w:cstheme="minorHAnsi"/>
          <w:sz w:val="18"/>
          <w:szCs w:val="18"/>
        </w:rPr>
        <w:tab/>
        <w:t>In preparation for a forthcoming proposal that would simplify regulatory capital requirements, federal banking regulators on Tuesday [August 22</w:t>
      </w:r>
      <w:r w:rsidRPr="00E36FF6">
        <w:rPr>
          <w:rFonts w:cstheme="minorHAnsi"/>
          <w:sz w:val="18"/>
          <w:szCs w:val="18"/>
          <w:vertAlign w:val="superscript"/>
        </w:rPr>
        <w:t>nd</w:t>
      </w:r>
      <w:r w:rsidRPr="00E36FF6">
        <w:rPr>
          <w:rFonts w:cstheme="minorHAnsi"/>
          <w:sz w:val="18"/>
          <w:szCs w:val="18"/>
        </w:rPr>
        <w:t>] proposed a rule that would extend the existing transitional capital treatment for certain regulatory capital deductions and risk weights. The extension would apply to banking organizations that are not subject to the agencies</w:t>
      </w:r>
      <w:r w:rsidR="00923CEF">
        <w:rPr>
          <w:rFonts w:cstheme="minorHAnsi"/>
          <w:sz w:val="18"/>
          <w:szCs w:val="18"/>
        </w:rPr>
        <w:t>’</w:t>
      </w:r>
      <w:r w:rsidRPr="00E36FF6">
        <w:rPr>
          <w:rFonts w:cstheme="minorHAnsi"/>
          <w:sz w:val="18"/>
          <w:szCs w:val="18"/>
        </w:rPr>
        <w:t xml:space="preserve"> advanced approaches capital rules.</w:t>
      </w:r>
      <w:r w:rsidR="00920B78" w:rsidRPr="00E36FF6">
        <w:rPr>
          <w:rFonts w:eastAsia="Calibri" w:cstheme="minorHAnsi"/>
          <w:sz w:val="18"/>
          <w:szCs w:val="18"/>
        </w:rPr>
        <w:t xml:space="preserve"> </w:t>
      </w:r>
      <w:r w:rsidR="00920B78" w:rsidRPr="00E36FF6">
        <w:rPr>
          <w:rFonts w:cstheme="minorHAnsi"/>
          <w:sz w:val="18"/>
          <w:szCs w:val="18"/>
        </w:rPr>
        <w:t>As part of the recent review of regulations under the Economic Growth and Regulatory Paperwork Reduction Act, the agencies announced that they are developing a proposal that would simplify the capital rules to reduce regulatory burden, particularly for community banks. That proposal would simplify the capital rules</w:t>
      </w:r>
      <w:r w:rsidR="00923CEF">
        <w:rPr>
          <w:rFonts w:cstheme="minorHAnsi"/>
          <w:sz w:val="18"/>
          <w:szCs w:val="18"/>
        </w:rPr>
        <w:t>’</w:t>
      </w:r>
      <w:r w:rsidR="00920B78" w:rsidRPr="00E36FF6">
        <w:rPr>
          <w:rFonts w:cstheme="minorHAnsi"/>
          <w:sz w:val="18"/>
          <w:szCs w:val="18"/>
        </w:rPr>
        <w:t xml:space="preserve"> treatment of mortgage servicing assets and other items. However, under the current capital rules, the transitional treatment for those items is scheduled to be replaced with a different treatment on </w:t>
      </w:r>
      <w:r w:rsidR="006316EE">
        <w:rPr>
          <w:rFonts w:cstheme="minorHAnsi"/>
          <w:sz w:val="18"/>
          <w:szCs w:val="18"/>
        </w:rPr>
        <w:t>March</w:t>
      </w:r>
      <w:r w:rsidR="00920B78" w:rsidRPr="00E36FF6">
        <w:rPr>
          <w:rFonts w:cstheme="minorHAnsi"/>
          <w:sz w:val="18"/>
          <w:szCs w:val="18"/>
        </w:rPr>
        <w:t xml:space="preserve"> 1, 2018. Comments on this proposal will be accepted for 30 days after publication in the Federal Register. </w:t>
      </w:r>
      <w:r w:rsidR="002073FD" w:rsidRPr="00E36FF6">
        <w:rPr>
          <w:rFonts w:cstheme="minorHAnsi"/>
          <w:sz w:val="18"/>
          <w:szCs w:val="18"/>
          <w:u w:val="single"/>
        </w:rPr>
        <w:t>The Notice of Proposed Rulemaking was published in the </w:t>
      </w:r>
      <w:hyperlink r:id="rId59" w:tgtFrame="_blank" w:history="1">
        <w:r w:rsidR="002073FD" w:rsidRPr="00E36FF6">
          <w:rPr>
            <w:rStyle w:val="Hyperlink"/>
            <w:rFonts w:cstheme="minorHAnsi"/>
            <w:color w:val="auto"/>
            <w:sz w:val="18"/>
            <w:szCs w:val="18"/>
          </w:rPr>
          <w:t>Federal Register</w:t>
        </w:r>
      </w:hyperlink>
      <w:r w:rsidR="002073FD" w:rsidRPr="00E36FF6">
        <w:rPr>
          <w:rFonts w:cstheme="minorHAnsi"/>
          <w:sz w:val="18"/>
          <w:szCs w:val="18"/>
          <w:u w:val="single"/>
        </w:rPr>
        <w:t> on October 27, 2017, and comments must be received by December 26, 2017.</w:t>
      </w:r>
    </w:p>
    <w:p w:rsidR="00FC00EF" w:rsidRPr="00436AD8" w:rsidRDefault="00FC00EF" w:rsidP="00923CEF">
      <w:pPr>
        <w:pStyle w:val="CCTOCHeading"/>
        <w:spacing w:line="259" w:lineRule="auto"/>
        <w:rPr>
          <w:rFonts w:asciiTheme="minorHAnsi" w:hAnsiTheme="minorHAnsi" w:cstheme="minorHAnsi"/>
        </w:rPr>
      </w:pPr>
      <w:bookmarkStart w:id="44" w:name="_Toc482863500"/>
      <w:bookmarkStart w:id="45" w:name="_Toc464471335"/>
      <w:bookmarkStart w:id="46" w:name="_Toc504138800"/>
      <w:bookmarkStart w:id="47" w:name="_Toc509412619"/>
      <w:r w:rsidRPr="00436AD8">
        <w:rPr>
          <w:rFonts w:asciiTheme="minorHAnsi" w:hAnsiTheme="minorHAnsi" w:cstheme="minorHAnsi"/>
        </w:rPr>
        <w:t>Selected</w:t>
      </w:r>
      <w:r w:rsidR="00B8557A" w:rsidRPr="00436AD8">
        <w:rPr>
          <w:rFonts w:asciiTheme="minorHAnsi" w:hAnsiTheme="minorHAnsi" w:cstheme="minorHAnsi"/>
        </w:rPr>
        <w:t xml:space="preserve"> </w:t>
      </w:r>
      <w:r w:rsidRPr="00436AD8">
        <w:rPr>
          <w:rFonts w:asciiTheme="minorHAnsi" w:hAnsiTheme="minorHAnsi" w:cstheme="minorHAnsi"/>
        </w:rPr>
        <w:t>federal</w:t>
      </w:r>
      <w:r w:rsidR="00B8557A" w:rsidRPr="00436AD8">
        <w:rPr>
          <w:rFonts w:asciiTheme="minorHAnsi" w:hAnsiTheme="minorHAnsi" w:cstheme="minorHAnsi"/>
        </w:rPr>
        <w:t xml:space="preserve"> </w:t>
      </w:r>
      <w:r w:rsidRPr="00436AD8">
        <w:rPr>
          <w:rFonts w:asciiTheme="minorHAnsi" w:hAnsiTheme="minorHAnsi" w:cstheme="minorHAnsi"/>
        </w:rPr>
        <w:t>rules</w:t>
      </w:r>
      <w:r w:rsidR="00B8557A" w:rsidRPr="00436AD8">
        <w:rPr>
          <w:rFonts w:asciiTheme="minorHAnsi" w:hAnsiTheme="minorHAnsi" w:cstheme="minorHAnsi"/>
        </w:rPr>
        <w:t xml:space="preserve"> </w:t>
      </w:r>
      <w:r w:rsidR="00141C47" w:rsidRPr="00436AD8">
        <w:rPr>
          <w:rFonts w:asciiTheme="minorHAnsi" w:hAnsiTheme="minorHAnsi" w:cstheme="minorHAnsi"/>
        </w:rPr>
        <w:t>–</w:t>
      </w:r>
      <w:r w:rsidR="00B8557A" w:rsidRPr="00436AD8">
        <w:rPr>
          <w:rFonts w:asciiTheme="minorHAnsi" w:hAnsiTheme="minorHAnsi" w:cstheme="minorHAnsi"/>
        </w:rPr>
        <w:t xml:space="preserve"> </w:t>
      </w:r>
      <w:r w:rsidRPr="00436AD8">
        <w:rPr>
          <w:rFonts w:asciiTheme="minorHAnsi" w:hAnsiTheme="minorHAnsi" w:cstheme="minorHAnsi"/>
        </w:rPr>
        <w:t>upcoming</w:t>
      </w:r>
      <w:r w:rsidR="00B8557A" w:rsidRPr="00436AD8">
        <w:rPr>
          <w:rFonts w:asciiTheme="minorHAnsi" w:hAnsiTheme="minorHAnsi" w:cstheme="minorHAnsi"/>
        </w:rPr>
        <w:t xml:space="preserve"> </w:t>
      </w:r>
      <w:r w:rsidRPr="00436AD8">
        <w:rPr>
          <w:rFonts w:asciiTheme="minorHAnsi" w:hAnsiTheme="minorHAnsi" w:cstheme="minorHAnsi"/>
        </w:rPr>
        <w:t>effective</w:t>
      </w:r>
      <w:r w:rsidR="00B8557A" w:rsidRPr="00436AD8">
        <w:rPr>
          <w:rFonts w:asciiTheme="minorHAnsi" w:hAnsiTheme="minorHAnsi" w:cstheme="minorHAnsi"/>
        </w:rPr>
        <w:t xml:space="preserve"> </w:t>
      </w:r>
      <w:r w:rsidRPr="00436AD8">
        <w:rPr>
          <w:rFonts w:asciiTheme="minorHAnsi" w:hAnsiTheme="minorHAnsi" w:cstheme="minorHAnsi"/>
        </w:rPr>
        <w:t>dates</w:t>
      </w:r>
      <w:bookmarkEnd w:id="44"/>
      <w:bookmarkEnd w:id="45"/>
      <w:bookmarkEnd w:id="46"/>
      <w:bookmarkEnd w:id="47"/>
    </w:p>
    <w:p w:rsidR="00FC00EF" w:rsidRPr="00436AD8" w:rsidRDefault="00FC00EF" w:rsidP="00FC00EF">
      <w:pPr>
        <w:pStyle w:val="CCIssuance"/>
        <w:rPr>
          <w:rFonts w:asciiTheme="minorHAnsi" w:hAnsiTheme="minorHAnsi" w:cstheme="minorHAnsi"/>
          <w:b w:val="0"/>
          <w:color w:val="auto"/>
          <w:sz w:val="22"/>
          <w:szCs w:val="22"/>
        </w:rPr>
      </w:pPr>
      <w:r w:rsidRPr="00436AD8">
        <w:rPr>
          <w:rFonts w:asciiTheme="minorHAnsi" w:hAnsiTheme="minorHAnsi" w:cstheme="minorHAnsi"/>
          <w:b w:val="0"/>
          <w:sz w:val="22"/>
          <w:szCs w:val="22"/>
        </w:rPr>
        <w:t>Not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all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final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included.</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Only</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affecting</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community</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banks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reported,</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but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we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make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no</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guarantees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that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these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all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final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your</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bank</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needs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to</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know</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about.</w:t>
      </w:r>
    </w:p>
    <w:p w:rsidR="00FC00EF" w:rsidRPr="00436AD8" w:rsidRDefault="00FC00EF" w:rsidP="00FC00EF">
      <w:pPr>
        <w:pBdr>
          <w:bottom w:val="single" w:sz="12" w:space="1" w:color="auto"/>
        </w:pBdr>
        <w:ind w:left="1440" w:hanging="1440"/>
        <w:rPr>
          <w:rFonts w:cstheme="minorHAnsi"/>
          <w:b/>
          <w:sz w:val="18"/>
          <w:szCs w:val="18"/>
        </w:rPr>
      </w:pPr>
      <w:r w:rsidRPr="00436AD8">
        <w:rPr>
          <w:rFonts w:cstheme="minorHAnsi"/>
          <w:b/>
          <w:sz w:val="18"/>
          <w:szCs w:val="18"/>
        </w:rPr>
        <w:t>EFFECTIVE</w:t>
      </w:r>
      <w:r w:rsidR="00B8557A" w:rsidRPr="00436AD8">
        <w:rPr>
          <w:rFonts w:cstheme="minorHAnsi"/>
          <w:b/>
          <w:sz w:val="18"/>
          <w:szCs w:val="18"/>
        </w:rPr>
        <w:t xml:space="preserve"> </w:t>
      </w:r>
    </w:p>
    <w:p w:rsidR="00FC00EF" w:rsidRPr="00436AD8" w:rsidRDefault="00FC00EF" w:rsidP="00FC00EF">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w:t>
      </w:r>
      <w:r w:rsidR="00B8557A" w:rsidRPr="00436AD8">
        <w:rPr>
          <w:rFonts w:cstheme="minorHAnsi"/>
          <w:b/>
          <w:sz w:val="18"/>
          <w:szCs w:val="18"/>
        </w:rPr>
        <w:t xml:space="preserve"> </w:t>
      </w:r>
      <w:r w:rsidRPr="00436AD8">
        <w:rPr>
          <w:rFonts w:cstheme="minorHAnsi"/>
          <w:b/>
          <w:sz w:val="18"/>
          <w:szCs w:val="18"/>
        </w:rPr>
        <w:t>OF</w:t>
      </w:r>
      <w:r w:rsidR="00B8557A" w:rsidRPr="00436AD8">
        <w:rPr>
          <w:rFonts w:cstheme="minorHAnsi"/>
          <w:b/>
          <w:sz w:val="18"/>
          <w:szCs w:val="18"/>
        </w:rPr>
        <w:t xml:space="preserve"> </w:t>
      </w:r>
      <w:r w:rsidRPr="00436AD8">
        <w:rPr>
          <w:rFonts w:cstheme="minorHAnsi"/>
          <w:b/>
          <w:sz w:val="18"/>
          <w:szCs w:val="18"/>
        </w:rPr>
        <w:t>FINAL</w:t>
      </w:r>
      <w:r w:rsidR="00B8557A" w:rsidRPr="00436AD8">
        <w:rPr>
          <w:rFonts w:cstheme="minorHAnsi"/>
          <w:b/>
          <w:sz w:val="18"/>
          <w:szCs w:val="18"/>
        </w:rPr>
        <w:t xml:space="preserve"> </w:t>
      </w:r>
      <w:r w:rsidRPr="00436AD8">
        <w:rPr>
          <w:rFonts w:cstheme="minorHAnsi"/>
          <w:b/>
          <w:sz w:val="18"/>
          <w:szCs w:val="18"/>
        </w:rPr>
        <w:t>RULE:</w:t>
      </w:r>
    </w:p>
    <w:p w:rsidR="00EE616A" w:rsidRPr="00EE616A" w:rsidRDefault="00EE616A" w:rsidP="008A18D1">
      <w:pPr>
        <w:pStyle w:val="CCComment"/>
        <w:rPr>
          <w:rFonts w:asciiTheme="minorHAnsi" w:hAnsiTheme="minorHAnsi" w:cstheme="minorHAnsi"/>
          <w:b w:val="0"/>
          <w:color w:val="auto"/>
          <w:sz w:val="18"/>
          <w:szCs w:val="18"/>
        </w:rPr>
      </w:pPr>
    </w:p>
    <w:p w:rsidR="00FC00EF" w:rsidRPr="00436AD8" w:rsidRDefault="00FC00EF" w:rsidP="00FC00EF">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05.11.2018</w:t>
      </w:r>
      <w:r w:rsidRPr="00436AD8">
        <w:rPr>
          <w:rFonts w:asciiTheme="minorHAnsi" w:hAnsiTheme="minorHAnsi" w:cstheme="minorHAnsi"/>
          <w:b w:val="0"/>
          <w:i w:val="0"/>
          <w:color w:val="auto"/>
          <w:sz w:val="18"/>
          <w:szCs w:val="18"/>
        </w:rPr>
        <w:tab/>
        <w:t>FinCEN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issued</w:t>
      </w:r>
      <w:r w:rsidR="00B8557A" w:rsidRPr="00436AD8">
        <w:rPr>
          <w:rFonts w:asciiTheme="minorHAnsi" w:hAnsiTheme="minorHAnsi" w:cstheme="minorHAnsi"/>
          <w:b w:val="0"/>
          <w:i w:val="0"/>
          <w:color w:val="auto"/>
          <w:sz w:val="18"/>
          <w:szCs w:val="18"/>
        </w:rPr>
        <w:t xml:space="preserve"> </w:t>
      </w:r>
      <w:hyperlink r:id="rId60" w:history="1">
        <w:r w:rsidRPr="00436AD8">
          <w:rPr>
            <w:rStyle w:val="Hyperlink"/>
            <w:rFonts w:asciiTheme="minorHAnsi" w:hAnsiTheme="minorHAnsi" w:cstheme="minorHAnsi"/>
            <w:b w:val="0"/>
            <w:i w:val="0"/>
            <w:sz w:val="18"/>
            <w:szCs w:val="18"/>
          </w:rPr>
          <w:t>final</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rules</w:t>
        </w:r>
      </w:hyperlink>
      <w:r w:rsidR="00B8557A" w:rsidRPr="00436AD8">
        <w:rPr>
          <w:rFonts w:asciiTheme="minorHAnsi" w:hAnsiTheme="minorHAnsi" w:cstheme="minorHAnsi"/>
          <w:color w:val="auto"/>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Secrecy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clarify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strengthen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due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diligence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brokers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dealers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securities;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mutual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futures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commission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merchants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introducing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brokers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commodities.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contain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explicit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due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diligence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include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new</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identify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verify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identity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beneficial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owners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legal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entity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subject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certain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exclusions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exemptions.</w:t>
      </w:r>
    </w:p>
    <w:p w:rsidR="00AE1AD1" w:rsidRPr="00436AD8" w:rsidRDefault="00AE1AD1" w:rsidP="00BC64C7">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07.01.2018</w:t>
      </w:r>
      <w:r w:rsidRPr="00436AD8">
        <w:rPr>
          <w:rFonts w:asciiTheme="minorHAnsi" w:hAnsiTheme="minorHAnsi" w:cstheme="minorHAnsi"/>
          <w:b w:val="0"/>
          <w:i w:val="0"/>
          <w:color w:val="auto"/>
          <w:sz w:val="18"/>
          <w:szCs w:val="18"/>
        </w:rPr>
        <w:tab/>
      </w:r>
      <w:hyperlink r:id="rId61" w:history="1">
        <w:r w:rsidR="00BC64C7" w:rsidRPr="00436AD8">
          <w:rPr>
            <w:rStyle w:val="Hyperlink"/>
            <w:rFonts w:asciiTheme="minorHAnsi" w:hAnsiTheme="minorHAnsi" w:cstheme="minorHAnsi"/>
            <w:b w:val="0"/>
            <w:sz w:val="18"/>
            <w:szCs w:val="18"/>
          </w:rPr>
          <w:t>Availability</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of</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Funds</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and</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Collection</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of</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Checks</w:t>
        </w:r>
      </w:hyperlink>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amending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subparts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Availability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(12</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part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229),</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which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implements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Expedited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Availability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1987</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(EFA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Clearing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21st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Century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2003</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21</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official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staff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commentary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regulation.1</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final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modified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current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reflect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virtually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all-electronic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environment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encourage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depositary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receive,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paying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retained,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without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change,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current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same-day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settlement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paper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also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applying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CC</w:t>
      </w:r>
      <w:r w:rsidR="00923CEF">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existing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warranties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subpart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that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are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addition,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adopted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new</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warranties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indemnities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related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w:t>
      </w:r>
      <w:r w:rsidR="00BC64C7" w:rsidRPr="00436AD8">
        <w:rPr>
          <w:rFonts w:asciiTheme="minorHAnsi" w:hAnsiTheme="minorHAnsi" w:cstheme="minorHAnsi"/>
          <w:b w:val="0"/>
          <w:i w:val="0"/>
          <w:color w:val="auto"/>
          <w:sz w:val="18"/>
          <w:szCs w:val="18"/>
        </w:rPr>
        <w:t>o</w:t>
      </w:r>
      <w:r w:rsidR="00B8557A" w:rsidRPr="00436AD8">
        <w:rPr>
          <w:rFonts w:asciiTheme="minorHAnsi" w:hAnsiTheme="minorHAnsi" w:cstheme="minorHAnsi"/>
          <w:b w:val="0"/>
          <w:i w:val="0"/>
          <w:color w:val="auto"/>
          <w:sz w:val="18"/>
          <w:szCs w:val="18"/>
        </w:rPr>
        <w:t xml:space="preserve"> </w:t>
      </w:r>
      <w:r w:rsidR="00BC64C7" w:rsidRPr="00436AD8">
        <w:rPr>
          <w:rFonts w:asciiTheme="minorHAnsi" w:hAnsiTheme="minorHAnsi" w:cstheme="minorHAnsi"/>
          <w:b w:val="0"/>
          <w:i w:val="0"/>
          <w:color w:val="auto"/>
          <w:sz w:val="18"/>
          <w:szCs w:val="18"/>
        </w:rPr>
        <w:t>electronically-created</w:t>
      </w:r>
      <w:r w:rsidR="00B8557A" w:rsidRPr="00436AD8">
        <w:rPr>
          <w:rFonts w:asciiTheme="minorHAnsi" w:hAnsiTheme="minorHAnsi" w:cstheme="minorHAnsi"/>
          <w:b w:val="0"/>
          <w:i w:val="0"/>
          <w:color w:val="auto"/>
          <w:sz w:val="18"/>
          <w:szCs w:val="18"/>
        </w:rPr>
        <w:t xml:space="preserve"> </w:t>
      </w:r>
      <w:r w:rsidR="00BC64C7" w:rsidRPr="00436AD8">
        <w:rPr>
          <w:rFonts w:asciiTheme="minorHAnsi" w:hAnsiTheme="minorHAnsi" w:cstheme="minorHAnsi"/>
          <w:b w:val="0"/>
          <w:i w:val="0"/>
          <w:color w:val="auto"/>
          <w:sz w:val="18"/>
          <w:szCs w:val="18"/>
        </w:rPr>
        <w:t>items.</w:t>
      </w:r>
    </w:p>
    <w:p w:rsidR="00050ED6" w:rsidRPr="00436AD8" w:rsidRDefault="00050ED6" w:rsidP="00050ED6">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04.01.201</w:t>
      </w:r>
      <w:r>
        <w:rPr>
          <w:rFonts w:asciiTheme="minorHAnsi" w:hAnsiTheme="minorHAnsi" w:cstheme="minorHAnsi"/>
          <w:b w:val="0"/>
          <w:i w:val="0"/>
          <w:color w:val="auto"/>
          <w:sz w:val="18"/>
          <w:szCs w:val="18"/>
        </w:rPr>
        <w:t>9</w:t>
      </w:r>
      <w:r w:rsidRPr="00436AD8">
        <w:rPr>
          <w:rFonts w:asciiTheme="minorHAnsi" w:hAnsiTheme="minorHAnsi" w:cstheme="minorHAnsi"/>
          <w:b w:val="0"/>
          <w:i w:val="0"/>
          <w:color w:val="auto"/>
          <w:sz w:val="18"/>
          <w:szCs w:val="18"/>
        </w:rPr>
        <w:tab/>
      </w:r>
      <w:hyperlink r:id="rId62" w:history="1">
        <w:r w:rsidRPr="00436AD8">
          <w:rPr>
            <w:rStyle w:val="Hyperlink"/>
            <w:rFonts w:asciiTheme="minorHAnsi" w:hAnsiTheme="minorHAnsi" w:cstheme="minorHAnsi"/>
            <w:b w:val="0"/>
            <w:i w:val="0"/>
            <w:sz w:val="18"/>
            <w:szCs w:val="18"/>
          </w:rPr>
          <w:t>Prepaid Accounts under the Electronic Fund Transfer Act (Regulation E) and the Truth In Lending Act (Regulation Z)</w:t>
        </w:r>
      </w:hyperlink>
      <w:r w:rsidRPr="00436AD8">
        <w:rPr>
          <w:rFonts w:asciiTheme="minorHAnsi" w:hAnsiTheme="minorHAnsi" w:cstheme="minorHAnsi"/>
          <w:b w:val="0"/>
          <w:i w:val="0"/>
          <w:color w:val="auto"/>
          <w:sz w:val="18"/>
          <w:szCs w:val="18"/>
        </w:rPr>
        <w:t xml:space="preserve">. The CFPB is issuing this final rule to create comprehensive consumer protections for prepaid accounts under Regulation E, which implements the Electronic Fund Transfer Act; Regulation Z, which implements the Truth in Lending Act; and the official interpretations to those regulations. The final rule modifies general Regulation E requirements to create tailored provisions </w:t>
      </w:r>
      <w:r w:rsidRPr="00436AD8">
        <w:rPr>
          <w:rFonts w:asciiTheme="minorHAnsi" w:hAnsiTheme="minorHAnsi" w:cstheme="minorHAnsi"/>
          <w:b w:val="0"/>
          <w:i w:val="0"/>
          <w:color w:val="auto"/>
          <w:sz w:val="18"/>
          <w:szCs w:val="18"/>
        </w:rPr>
        <w:lastRenderedPageBreak/>
        <w:t xml:space="preserve">governing disclosures, limited liability and error resolution, and periodic statements, and adds new requirements regarding the posting of account agreements. Additionally, the final rule regulates overdraft credit features that may be offered in conjunction with prepaid accounts. Subject to certain exceptions, such credit features will be covered under Regulation Z where the credit feature is offered by the prepaid account issuer, its affiliate, or its business partner and credit can be accessed </w:t>
      </w:r>
      <w:proofErr w:type="gramStart"/>
      <w:r w:rsidRPr="00436AD8">
        <w:rPr>
          <w:rFonts w:asciiTheme="minorHAnsi" w:hAnsiTheme="minorHAnsi" w:cstheme="minorHAnsi"/>
          <w:b w:val="0"/>
          <w:i w:val="0"/>
          <w:color w:val="auto"/>
          <w:sz w:val="18"/>
          <w:szCs w:val="18"/>
        </w:rPr>
        <w:t>in the course of</w:t>
      </w:r>
      <w:proofErr w:type="gramEnd"/>
      <w:r w:rsidRPr="00436AD8">
        <w:rPr>
          <w:rFonts w:asciiTheme="minorHAnsi" w:hAnsiTheme="minorHAnsi" w:cstheme="minorHAnsi"/>
          <w:b w:val="0"/>
          <w:i w:val="0"/>
          <w:color w:val="auto"/>
          <w:sz w:val="18"/>
          <w:szCs w:val="18"/>
        </w:rPr>
        <w:t xml:space="preserve"> a transaction conducted with a prepaid card. </w:t>
      </w:r>
      <w:r w:rsidR="00371FD5">
        <w:rPr>
          <w:rFonts w:asciiTheme="minorHAnsi" w:hAnsiTheme="minorHAnsi" w:cstheme="minorHAnsi"/>
          <w:b w:val="0"/>
          <w:i w:val="0"/>
          <w:color w:val="auto"/>
          <w:sz w:val="18"/>
          <w:szCs w:val="18"/>
        </w:rPr>
        <w:t>For additional information, s</w:t>
      </w:r>
      <w:r w:rsidRPr="00436AD8">
        <w:rPr>
          <w:rFonts w:asciiTheme="minorHAnsi" w:hAnsiTheme="minorHAnsi" w:cstheme="minorHAnsi"/>
          <w:b w:val="0"/>
          <w:i w:val="0"/>
          <w:color w:val="auto"/>
          <w:sz w:val="18"/>
          <w:szCs w:val="18"/>
        </w:rPr>
        <w:t>ee the CFPB</w:t>
      </w:r>
      <w:r w:rsidR="00923CEF">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Pr="00436AD8">
        <w:rPr>
          <w:rFonts w:asciiTheme="minorHAnsi" w:hAnsiTheme="minorHAnsi" w:cstheme="minorHAnsi"/>
          <w:sz w:val="18"/>
          <w:szCs w:val="18"/>
        </w:rPr>
        <w:t xml:space="preserve"> </w:t>
      </w:r>
      <w:hyperlink r:id="rId63" w:history="1">
        <w:r w:rsidRPr="00436AD8">
          <w:rPr>
            <w:rStyle w:val="Hyperlink"/>
            <w:rFonts w:asciiTheme="minorHAnsi" w:hAnsiTheme="minorHAnsi" w:cstheme="minorHAnsi"/>
            <w:b w:val="0"/>
            <w:i w:val="0"/>
            <w:sz w:val="18"/>
            <w:szCs w:val="18"/>
          </w:rPr>
          <w:t>prepaid rule implementation page</w:t>
        </w:r>
      </w:hyperlink>
      <w:r w:rsidRPr="00436AD8">
        <w:rPr>
          <w:rFonts w:asciiTheme="minorHAnsi" w:hAnsiTheme="minorHAnsi" w:cstheme="minorHAnsi"/>
          <w:b w:val="0"/>
          <w:i w:val="0"/>
          <w:sz w:val="18"/>
          <w:szCs w:val="18"/>
        </w:rPr>
        <w:t>.</w:t>
      </w:r>
    </w:p>
    <w:p w:rsidR="002F60BF" w:rsidRDefault="002F60BF">
      <w:pPr>
        <w:rPr>
          <w:rFonts w:eastAsia="Times New Roman" w:cstheme="minorHAnsi"/>
          <w:b/>
          <w:color w:val="1F497D" w:themeColor="text2"/>
          <w:sz w:val="40"/>
          <w:szCs w:val="40"/>
        </w:rPr>
      </w:pPr>
      <w:bookmarkStart w:id="48" w:name="_Toc504138802"/>
      <w:bookmarkStart w:id="49" w:name="_Toc509412621"/>
      <w:r>
        <w:rPr>
          <w:rFonts w:cstheme="minorHAnsi"/>
        </w:rPr>
        <w:br w:type="page"/>
      </w:r>
    </w:p>
    <w:p w:rsidR="008F6ABB" w:rsidRDefault="008F6ABB" w:rsidP="002F60BF">
      <w:pPr>
        <w:pStyle w:val="CCTOCHeading"/>
        <w:spacing w:line="259" w:lineRule="auto"/>
        <w:rPr>
          <w:rFonts w:asciiTheme="minorHAnsi" w:hAnsiTheme="minorHAnsi" w:cstheme="minorHAnsi"/>
        </w:rPr>
      </w:pPr>
      <w:r w:rsidRPr="00436AD8">
        <w:rPr>
          <w:rFonts w:asciiTheme="minorHAnsi" w:hAnsiTheme="minorHAnsi" w:cstheme="minorHAnsi"/>
        </w:rPr>
        <w:lastRenderedPageBreak/>
        <w:t>Common</w:t>
      </w:r>
      <w:r w:rsidR="00B8557A" w:rsidRPr="00436AD8">
        <w:rPr>
          <w:rFonts w:asciiTheme="minorHAnsi" w:hAnsiTheme="minorHAnsi" w:cstheme="minorHAnsi"/>
        </w:rPr>
        <w:t xml:space="preserve"> </w:t>
      </w:r>
      <w:r w:rsidRPr="00436AD8">
        <w:rPr>
          <w:rFonts w:asciiTheme="minorHAnsi" w:hAnsiTheme="minorHAnsi" w:cstheme="minorHAnsi"/>
        </w:rPr>
        <w:t>words,</w:t>
      </w:r>
      <w:r w:rsidR="00B8557A" w:rsidRPr="00436AD8">
        <w:rPr>
          <w:rFonts w:asciiTheme="minorHAnsi" w:hAnsiTheme="minorHAnsi" w:cstheme="minorHAnsi"/>
        </w:rPr>
        <w:t xml:space="preserve"> </w:t>
      </w:r>
      <w:r w:rsidRPr="00436AD8">
        <w:rPr>
          <w:rFonts w:asciiTheme="minorHAnsi" w:hAnsiTheme="minorHAnsi" w:cstheme="minorHAnsi"/>
        </w:rPr>
        <w:t>phrases,</w:t>
      </w:r>
      <w:r w:rsidR="00B8557A" w:rsidRPr="00436AD8">
        <w:rPr>
          <w:rFonts w:asciiTheme="minorHAnsi" w:hAnsiTheme="minorHAnsi" w:cstheme="minorHAnsi"/>
        </w:rPr>
        <w:t xml:space="preserve"> </w:t>
      </w:r>
      <w:r w:rsidRPr="00436AD8">
        <w:rPr>
          <w:rFonts w:asciiTheme="minorHAnsi" w:hAnsiTheme="minorHAnsi" w:cstheme="minorHAnsi"/>
        </w:rPr>
        <w:t>and</w:t>
      </w:r>
      <w:r w:rsidR="00B8557A" w:rsidRPr="00436AD8">
        <w:rPr>
          <w:rFonts w:asciiTheme="minorHAnsi" w:hAnsiTheme="minorHAnsi" w:cstheme="minorHAnsi"/>
        </w:rPr>
        <w:t xml:space="preserve"> </w:t>
      </w:r>
      <w:r w:rsidRPr="00436AD8">
        <w:rPr>
          <w:rFonts w:asciiTheme="minorHAnsi" w:hAnsiTheme="minorHAnsi" w:cstheme="minorHAnsi"/>
        </w:rPr>
        <w:t>acronyms</w:t>
      </w:r>
      <w:bookmarkEnd w:id="48"/>
      <w:bookmarkEnd w:id="49"/>
    </w:p>
    <w:p w:rsidR="00E36FF6" w:rsidRPr="00436AD8" w:rsidRDefault="00E36FF6" w:rsidP="002F60BF">
      <w:pPr>
        <w:pStyle w:val="CCTOCHeading"/>
        <w:spacing w:line="259" w:lineRule="auto"/>
        <w:rPr>
          <w:rFonts w:asciiTheme="minorHAnsi" w:hAnsiTheme="minorHAnsi" w:cstheme="minorHAnsi"/>
        </w:rPr>
        <w:sectPr w:rsidR="00E36FF6" w:rsidRPr="00436AD8" w:rsidSect="002F60BF">
          <w:footerReference w:type="default" r:id="rId64"/>
          <w:footerReference w:type="first" r:id="rId65"/>
          <w:type w:val="continuous"/>
          <w:pgSz w:w="12240" w:h="15840" w:code="1"/>
          <w:pgMar w:top="720" w:right="720" w:bottom="864" w:left="720" w:header="720" w:footer="432" w:gutter="0"/>
          <w:cols w:space="720"/>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8F6ABB" w:rsidRPr="00436AD8" w:rsidTr="00E36FF6">
        <w:trPr>
          <w:cantSplit/>
          <w:trHeight w:val="144"/>
          <w:tblCellSpacing w:w="0" w:type="dxa"/>
        </w:trPr>
        <w:tc>
          <w:tcPr>
            <w:tcW w:w="0" w:type="auto"/>
            <w:vAlign w:val="center"/>
            <w:hideMark/>
          </w:tcPr>
          <w:p w:rsidR="008F6ABB" w:rsidRPr="00436AD8" w:rsidRDefault="008F6ABB" w:rsidP="002F60BF">
            <w:pPr>
              <w:keepNext/>
              <w:rPr>
                <w:rFonts w:cstheme="minorHAnsi"/>
              </w:rPr>
            </w:pPr>
            <w:r w:rsidRPr="00436AD8">
              <w:rPr>
                <w:rFonts w:cstheme="minorHAnsi"/>
              </w:rPr>
              <w:t>APOR</w:t>
            </w:r>
          </w:p>
        </w:tc>
        <w:tc>
          <w:tcPr>
            <w:tcW w:w="0" w:type="auto"/>
            <w:vAlign w:val="center"/>
            <w:hideMark/>
          </w:tcPr>
          <w:p w:rsidR="008F6ABB" w:rsidRPr="00436AD8" w:rsidRDefault="00923CEF" w:rsidP="002F60BF">
            <w:pPr>
              <w:keepNext/>
              <w:rPr>
                <w:rFonts w:cstheme="minorHAnsi"/>
              </w:rPr>
            </w:pPr>
            <w:r>
              <w:rPr>
                <w:rFonts w:cstheme="minorHAnsi"/>
              </w:rPr>
              <w:t>“</w:t>
            </w:r>
            <w:r w:rsidR="008F6ABB" w:rsidRPr="00436AD8">
              <w:rPr>
                <w:rFonts w:cstheme="minorHAnsi"/>
              </w:rPr>
              <w:t>Average</w:t>
            </w:r>
            <w:r w:rsidR="00B8557A" w:rsidRPr="00436AD8">
              <w:rPr>
                <w:rFonts w:cstheme="minorHAnsi"/>
              </w:rPr>
              <w:t xml:space="preserve"> </w:t>
            </w:r>
            <w:r w:rsidR="008F6ABB" w:rsidRPr="00436AD8">
              <w:rPr>
                <w:rFonts w:cstheme="minorHAnsi"/>
              </w:rPr>
              <w:t>Prime</w:t>
            </w:r>
            <w:r w:rsidR="00B8557A" w:rsidRPr="00436AD8">
              <w:rPr>
                <w:rFonts w:cstheme="minorHAnsi"/>
              </w:rPr>
              <w:t xml:space="preserve"> </w:t>
            </w:r>
            <w:r w:rsidR="008F6ABB" w:rsidRPr="00436AD8">
              <w:rPr>
                <w:rFonts w:cstheme="minorHAnsi"/>
              </w:rPr>
              <w:t>Offer</w:t>
            </w:r>
            <w:r w:rsidR="00B8557A" w:rsidRPr="00436AD8">
              <w:rPr>
                <w:rFonts w:cstheme="minorHAnsi"/>
              </w:rPr>
              <w:t xml:space="preserve"> </w:t>
            </w:r>
            <w:r w:rsidR="008F6ABB" w:rsidRPr="00436AD8">
              <w:rPr>
                <w:rFonts w:cstheme="minorHAnsi"/>
              </w:rPr>
              <w:t>Rates</w:t>
            </w:r>
            <w:r>
              <w:rPr>
                <w:rFonts w:cstheme="minorHAnsi"/>
              </w:rPr>
              <w:t>”</w:t>
            </w:r>
            <w:r w:rsidR="00B8557A" w:rsidRPr="00436AD8">
              <w:rPr>
                <w:rFonts w:cstheme="minorHAnsi"/>
              </w:rPr>
              <w:t xml:space="preserve"> </w:t>
            </w:r>
            <w:r w:rsidR="008F6ABB" w:rsidRPr="00436AD8">
              <w:rPr>
                <w:rFonts w:cstheme="minorHAnsi"/>
              </w:rPr>
              <w:t>are</w:t>
            </w:r>
            <w:r w:rsidR="00B8557A" w:rsidRPr="00436AD8">
              <w:rPr>
                <w:rFonts w:cstheme="minorHAnsi"/>
              </w:rPr>
              <w:t xml:space="preserve"> </w:t>
            </w:r>
            <w:r w:rsidR="008F6ABB" w:rsidRPr="00436AD8">
              <w:rPr>
                <w:rFonts w:cstheme="minorHAnsi"/>
              </w:rPr>
              <w:t>derived</w:t>
            </w:r>
            <w:r w:rsidR="00B8557A" w:rsidRPr="00436AD8">
              <w:rPr>
                <w:rFonts w:cstheme="minorHAnsi"/>
              </w:rPr>
              <w:t xml:space="preserve"> </w:t>
            </w:r>
            <w:r w:rsidR="008F6ABB" w:rsidRPr="00436AD8">
              <w:rPr>
                <w:rFonts w:cstheme="minorHAnsi"/>
              </w:rPr>
              <w:t>from</w:t>
            </w:r>
            <w:r w:rsidR="00B8557A" w:rsidRPr="00436AD8">
              <w:rPr>
                <w:rFonts w:cstheme="minorHAnsi"/>
              </w:rPr>
              <w:t xml:space="preserve"> </w:t>
            </w:r>
            <w:r w:rsidR="008F6ABB" w:rsidRPr="00436AD8">
              <w:rPr>
                <w:rFonts w:cstheme="minorHAnsi"/>
              </w:rPr>
              <w:t>average</w:t>
            </w:r>
            <w:r w:rsidR="00B8557A" w:rsidRPr="00436AD8">
              <w:rPr>
                <w:rFonts w:cstheme="minorHAnsi"/>
              </w:rPr>
              <w:t xml:space="preserve"> </w:t>
            </w:r>
            <w:r w:rsidR="008F6ABB" w:rsidRPr="00436AD8">
              <w:rPr>
                <w:rFonts w:cstheme="minorHAnsi"/>
              </w:rPr>
              <w:t>interest</w:t>
            </w:r>
            <w:r w:rsidR="00B8557A" w:rsidRPr="00436AD8">
              <w:rPr>
                <w:rFonts w:cstheme="minorHAnsi"/>
              </w:rPr>
              <w:t xml:space="preserve"> </w:t>
            </w:r>
            <w:r w:rsidR="008F6ABB" w:rsidRPr="00436AD8">
              <w:rPr>
                <w:rFonts w:cstheme="minorHAnsi"/>
              </w:rPr>
              <w:t>rates,</w:t>
            </w:r>
            <w:r w:rsidR="00B8557A" w:rsidRPr="00436AD8">
              <w:rPr>
                <w:rFonts w:cstheme="minorHAnsi"/>
              </w:rPr>
              <w:t xml:space="preserve"> </w:t>
            </w:r>
            <w:r w:rsidR="008F6ABB" w:rsidRPr="00436AD8">
              <w:rPr>
                <w:rFonts w:cstheme="minorHAnsi"/>
              </w:rPr>
              <w:t>points,</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other</w:t>
            </w:r>
            <w:r w:rsidR="00B8557A" w:rsidRPr="00436AD8">
              <w:rPr>
                <w:rFonts w:cstheme="minorHAnsi"/>
              </w:rPr>
              <w:t xml:space="preserve"> </w:t>
            </w:r>
            <w:r w:rsidR="008F6ABB" w:rsidRPr="00436AD8">
              <w:rPr>
                <w:rFonts w:cstheme="minorHAnsi"/>
              </w:rPr>
              <w:t>pricing</w:t>
            </w:r>
            <w:r w:rsidR="00B8557A" w:rsidRPr="00436AD8">
              <w:rPr>
                <w:rFonts w:cstheme="minorHAnsi"/>
              </w:rPr>
              <w:t xml:space="preserve"> </w:t>
            </w:r>
            <w:r w:rsidR="008F6ABB" w:rsidRPr="00436AD8">
              <w:rPr>
                <w:rFonts w:cstheme="minorHAnsi"/>
              </w:rPr>
              <w:t>terms</w:t>
            </w:r>
            <w:r w:rsidR="00B8557A" w:rsidRPr="00436AD8">
              <w:rPr>
                <w:rFonts w:cstheme="minorHAnsi"/>
              </w:rPr>
              <w:t xml:space="preserve"> </w:t>
            </w:r>
            <w:r w:rsidR="008F6ABB" w:rsidRPr="00436AD8">
              <w:rPr>
                <w:rFonts w:cstheme="minorHAnsi"/>
              </w:rPr>
              <w:t>offered</w:t>
            </w:r>
            <w:r w:rsidR="00B8557A" w:rsidRPr="00436AD8">
              <w:rPr>
                <w:rFonts w:cstheme="minorHAnsi"/>
              </w:rPr>
              <w:t xml:space="preserve"> </w:t>
            </w:r>
            <w:r w:rsidR="008F6ABB" w:rsidRPr="00436AD8">
              <w:rPr>
                <w:rFonts w:cstheme="minorHAnsi"/>
              </w:rPr>
              <w:t>by</w:t>
            </w:r>
            <w:r w:rsidR="00B8557A" w:rsidRPr="00436AD8">
              <w:rPr>
                <w:rFonts w:cstheme="minorHAnsi"/>
              </w:rPr>
              <w:t xml:space="preserve"> </w:t>
            </w:r>
            <w:r w:rsidR="008F6ABB" w:rsidRPr="00436AD8">
              <w:rPr>
                <w:rFonts w:cstheme="minorHAnsi"/>
              </w:rPr>
              <w:t>a</w:t>
            </w:r>
            <w:r w:rsidR="00B8557A" w:rsidRPr="00436AD8">
              <w:rPr>
                <w:rFonts w:cstheme="minorHAnsi"/>
              </w:rPr>
              <w:t xml:space="preserve"> </w:t>
            </w:r>
            <w:r w:rsidR="008F6ABB" w:rsidRPr="00436AD8">
              <w:rPr>
                <w:rFonts w:cstheme="minorHAnsi"/>
              </w:rPr>
              <w:t>representative</w:t>
            </w:r>
            <w:r w:rsidR="00B8557A" w:rsidRPr="00436AD8">
              <w:rPr>
                <w:rFonts w:cstheme="minorHAnsi"/>
              </w:rPr>
              <w:t xml:space="preserve"> </w:t>
            </w:r>
            <w:r w:rsidR="008F6ABB" w:rsidRPr="00436AD8">
              <w:rPr>
                <w:rFonts w:cstheme="minorHAnsi"/>
              </w:rPr>
              <w:t>sample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creditors</w:t>
            </w:r>
            <w:r w:rsidR="00B8557A" w:rsidRPr="00436AD8">
              <w:rPr>
                <w:rFonts w:cstheme="minorHAnsi"/>
              </w:rPr>
              <w:t xml:space="preserve"> </w:t>
            </w:r>
            <w:r w:rsidR="008F6ABB" w:rsidRPr="00436AD8">
              <w:rPr>
                <w:rFonts w:cstheme="minorHAnsi"/>
              </w:rPr>
              <w:t>for</w:t>
            </w:r>
            <w:r w:rsidR="00B8557A" w:rsidRPr="00436AD8">
              <w:rPr>
                <w:rFonts w:cstheme="minorHAnsi"/>
              </w:rPr>
              <w:t xml:space="preserve"> </w:t>
            </w:r>
            <w:r w:rsidR="008F6ABB" w:rsidRPr="00436AD8">
              <w:rPr>
                <w:rFonts w:cstheme="minorHAnsi"/>
              </w:rPr>
              <w:t>mortgage</w:t>
            </w:r>
            <w:r w:rsidR="00B8557A" w:rsidRPr="00436AD8">
              <w:rPr>
                <w:rFonts w:cstheme="minorHAnsi"/>
              </w:rPr>
              <w:t xml:space="preserve"> </w:t>
            </w:r>
            <w:r w:rsidR="008F6ABB" w:rsidRPr="00436AD8">
              <w:rPr>
                <w:rFonts w:cstheme="minorHAnsi"/>
              </w:rPr>
              <w:t>transactions</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have</w:t>
            </w:r>
            <w:r w:rsidR="00B8557A" w:rsidRPr="00436AD8">
              <w:rPr>
                <w:rFonts w:cstheme="minorHAnsi"/>
              </w:rPr>
              <w:t xml:space="preserve"> </w:t>
            </w:r>
            <w:r w:rsidR="008F6ABB" w:rsidRPr="00436AD8">
              <w:rPr>
                <w:rFonts w:cstheme="minorHAnsi"/>
              </w:rPr>
              <w:t>low-risk</w:t>
            </w:r>
            <w:r w:rsidR="00B8557A" w:rsidRPr="00436AD8">
              <w:rPr>
                <w:rFonts w:cstheme="minorHAnsi"/>
              </w:rPr>
              <w:t xml:space="preserve"> </w:t>
            </w:r>
            <w:r w:rsidR="008F6ABB" w:rsidRPr="00436AD8">
              <w:rPr>
                <w:rFonts w:cstheme="minorHAnsi"/>
              </w:rPr>
              <w:t>pricing</w:t>
            </w:r>
            <w:r w:rsidR="00B8557A" w:rsidRPr="00436AD8">
              <w:rPr>
                <w:rFonts w:cstheme="minorHAnsi"/>
              </w:rPr>
              <w:t xml:space="preserve"> </w:t>
            </w:r>
            <w:r w:rsidR="008F6ABB" w:rsidRPr="00436AD8">
              <w:rPr>
                <w:rFonts w:cstheme="minorHAnsi"/>
              </w:rPr>
              <w:t>characteristics.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CARD</w:t>
            </w:r>
            <w:r w:rsidR="00B8557A" w:rsidRPr="00436AD8">
              <w:rPr>
                <w:rFonts w:cstheme="minorHAnsi"/>
              </w:rPr>
              <w:t xml:space="preserve"> </w:t>
            </w:r>
            <w:r w:rsidRPr="00436AD8">
              <w:rPr>
                <w:rFonts w:cstheme="minorHAnsi"/>
              </w:rPr>
              <w:t>Act</w:t>
            </w:r>
          </w:p>
        </w:tc>
        <w:tc>
          <w:tcPr>
            <w:tcW w:w="0" w:type="auto"/>
            <w:vAlign w:val="center"/>
            <w:hideMark/>
          </w:tcPr>
          <w:p w:rsidR="008F6ABB" w:rsidRPr="00436AD8" w:rsidRDefault="00CC73A1" w:rsidP="00EE1148">
            <w:pPr>
              <w:rPr>
                <w:rFonts w:cstheme="minorHAnsi"/>
              </w:rPr>
            </w:pPr>
            <w:hyperlink r:id="rId66" w:history="1">
              <w:r w:rsidR="008F6ABB" w:rsidRPr="00436AD8">
                <w:rPr>
                  <w:rStyle w:val="Hyperlink"/>
                  <w:rFonts w:cstheme="minorHAnsi"/>
                </w:rPr>
                <w:t>Credit</w:t>
              </w:r>
              <w:r w:rsidR="00B8557A" w:rsidRPr="00436AD8">
                <w:rPr>
                  <w:rStyle w:val="Hyperlink"/>
                  <w:rFonts w:cstheme="minorHAnsi"/>
                </w:rPr>
                <w:t xml:space="preserve"> </w:t>
              </w:r>
              <w:r w:rsidR="008F6ABB" w:rsidRPr="00436AD8">
                <w:rPr>
                  <w:rStyle w:val="Hyperlink"/>
                  <w:rFonts w:cstheme="minorHAnsi"/>
                </w:rPr>
                <w:t>Card</w:t>
              </w:r>
              <w:r w:rsidR="00B8557A" w:rsidRPr="00436AD8">
                <w:rPr>
                  <w:rStyle w:val="Hyperlink"/>
                  <w:rFonts w:cstheme="minorHAnsi"/>
                </w:rPr>
                <w:t xml:space="preserve"> </w:t>
              </w:r>
              <w:r w:rsidR="008F6ABB" w:rsidRPr="00436AD8">
                <w:rPr>
                  <w:rStyle w:val="Hyperlink"/>
                  <w:rFonts w:cstheme="minorHAnsi"/>
                </w:rPr>
                <w:t>Accountability</w:t>
              </w:r>
              <w:r w:rsidR="00B8557A" w:rsidRPr="00436AD8">
                <w:rPr>
                  <w:rStyle w:val="Hyperlink"/>
                  <w:rFonts w:cstheme="minorHAnsi"/>
                </w:rPr>
                <w:t xml:space="preserve"> </w:t>
              </w:r>
              <w:r w:rsidR="008F6ABB" w:rsidRPr="00436AD8">
                <w:rPr>
                  <w:rStyle w:val="Hyperlink"/>
                  <w:rFonts w:cstheme="minorHAnsi"/>
                </w:rPr>
                <w:t>Responsibility</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Disclosure</w:t>
              </w:r>
              <w:r w:rsidR="00B8557A" w:rsidRPr="00436AD8">
                <w:rPr>
                  <w:rStyle w:val="Hyperlink"/>
                  <w:rFonts w:cstheme="minorHAnsi"/>
                </w:rPr>
                <w:t xml:space="preserve"> </w:t>
              </w:r>
              <w:r w:rsidR="008F6ABB" w:rsidRPr="00436AD8">
                <w:rPr>
                  <w:rStyle w:val="Hyperlink"/>
                  <w:rFonts w:cstheme="minorHAnsi"/>
                </w:rPr>
                <w:t>Act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2009</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CFPB</w:t>
            </w:r>
          </w:p>
        </w:tc>
        <w:tc>
          <w:tcPr>
            <w:tcW w:w="0" w:type="auto"/>
            <w:vAlign w:val="center"/>
            <w:hideMark/>
          </w:tcPr>
          <w:p w:rsidR="008F6ABB" w:rsidRPr="00436AD8" w:rsidRDefault="00CC73A1" w:rsidP="00EE1148">
            <w:pPr>
              <w:rPr>
                <w:rFonts w:cstheme="minorHAnsi"/>
              </w:rPr>
            </w:pPr>
            <w:hyperlink r:id="rId67" w:history="1">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Protection</w:t>
              </w:r>
              <w:r w:rsidR="00B8557A" w:rsidRPr="00436AD8">
                <w:rPr>
                  <w:rStyle w:val="Hyperlink"/>
                  <w:rFonts w:cstheme="minorHAnsi"/>
                </w:rPr>
                <w:t xml:space="preserve"> </w:t>
              </w:r>
              <w:r w:rsidR="008F6ABB" w:rsidRPr="00436AD8">
                <w:rPr>
                  <w:rStyle w:val="Hyperlink"/>
                  <w:rFonts w:cstheme="minorHAnsi"/>
                </w:rPr>
                <w:t>Bureau</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CFR</w:t>
            </w:r>
          </w:p>
        </w:tc>
        <w:tc>
          <w:tcPr>
            <w:tcW w:w="0" w:type="auto"/>
            <w:vAlign w:val="center"/>
            <w:hideMark/>
          </w:tcPr>
          <w:p w:rsidR="008F6ABB" w:rsidRPr="00436AD8" w:rsidRDefault="00CC73A1" w:rsidP="00EE1148">
            <w:pPr>
              <w:rPr>
                <w:rFonts w:cstheme="minorHAnsi"/>
              </w:rPr>
            </w:pPr>
            <w:hyperlink r:id="rId68" w:history="1">
              <w:r w:rsidR="008F6ABB" w:rsidRPr="00436AD8">
                <w:rPr>
                  <w:rStyle w:val="Hyperlink"/>
                  <w:rFonts w:cstheme="minorHAnsi"/>
                </w:rPr>
                <w:t>Code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Regulations</w:t>
              </w:r>
            </w:hyperlink>
            <w:r w:rsidR="008F6ABB" w:rsidRPr="00436AD8">
              <w:rPr>
                <w:rFonts w:cstheme="minorHAnsi"/>
              </w:rPr>
              <w:t>.</w:t>
            </w:r>
            <w:r w:rsidR="00B8557A" w:rsidRPr="00436AD8">
              <w:rPr>
                <w:rFonts w:cstheme="minorHAnsi"/>
              </w:rPr>
              <w:t xml:space="preserve"> </w:t>
            </w:r>
            <w:r w:rsidR="008F6ABB" w:rsidRPr="00436AD8">
              <w:rPr>
                <w:rFonts w:cstheme="minorHAnsi"/>
              </w:rPr>
              <w:t>Codification</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rules</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regulations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federal</w:t>
            </w:r>
            <w:r w:rsidR="00B8557A" w:rsidRPr="00436AD8">
              <w:rPr>
                <w:rFonts w:cstheme="minorHAnsi"/>
              </w:rPr>
              <w:t xml:space="preserve"> </w:t>
            </w:r>
            <w:r w:rsidR="008F6ABB" w:rsidRPr="00436AD8">
              <w:rPr>
                <w:rFonts w:cstheme="minorHAnsi"/>
              </w:rPr>
              <w:t>agencies.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CRA</w:t>
            </w:r>
          </w:p>
        </w:tc>
        <w:tc>
          <w:tcPr>
            <w:tcW w:w="0" w:type="auto"/>
            <w:vAlign w:val="center"/>
            <w:hideMark/>
          </w:tcPr>
          <w:p w:rsidR="008F6ABB" w:rsidRPr="00436AD8" w:rsidRDefault="00CC73A1" w:rsidP="00EE1148">
            <w:pPr>
              <w:rPr>
                <w:rFonts w:cstheme="minorHAnsi"/>
              </w:rPr>
            </w:pPr>
            <w:hyperlink r:id="rId69" w:history="1">
              <w:r w:rsidR="008F6ABB" w:rsidRPr="00436AD8">
                <w:rPr>
                  <w:rStyle w:val="Hyperlink"/>
                  <w:rFonts w:cstheme="minorHAnsi"/>
                </w:rPr>
                <w:t>Community</w:t>
              </w:r>
              <w:r w:rsidR="00B8557A" w:rsidRPr="00436AD8">
                <w:rPr>
                  <w:rStyle w:val="Hyperlink"/>
                  <w:rFonts w:cstheme="minorHAnsi"/>
                </w:rPr>
                <w:t xml:space="preserve"> </w:t>
              </w:r>
              <w:r w:rsidR="008F6ABB" w:rsidRPr="00436AD8">
                <w:rPr>
                  <w:rStyle w:val="Hyperlink"/>
                  <w:rFonts w:cstheme="minorHAnsi"/>
                </w:rPr>
                <w:t>Reinvestment</w:t>
              </w:r>
              <w:r w:rsidR="00B8557A" w:rsidRPr="00436AD8">
                <w:rPr>
                  <w:rStyle w:val="Hyperlink"/>
                  <w:rFonts w:cstheme="minorHAnsi"/>
                </w:rPr>
                <w:t xml:space="preserve"> </w:t>
              </w:r>
              <w:r w:rsidR="008F6ABB" w:rsidRPr="00436AD8">
                <w:rPr>
                  <w:rStyle w:val="Hyperlink"/>
                  <w:rFonts w:cstheme="minorHAnsi"/>
                </w:rPr>
                <w:t>Act</w:t>
              </w:r>
            </w:hyperlink>
            <w:r w:rsidR="008F6ABB" w:rsidRPr="00436AD8">
              <w:rPr>
                <w:rFonts w:cstheme="minorHAnsi"/>
              </w:rPr>
              <w:t>.</w:t>
            </w:r>
            <w:r w:rsidR="00B8557A" w:rsidRPr="00436AD8">
              <w:rPr>
                <w:rFonts w:cstheme="minorHAnsi"/>
              </w:rPr>
              <w:t xml:space="preserve"> </w:t>
            </w:r>
            <w:r w:rsidR="008F6ABB" w:rsidRPr="00436AD8">
              <w:rPr>
                <w:rFonts w:cstheme="minorHAnsi"/>
              </w:rPr>
              <w:t>This</w:t>
            </w:r>
            <w:r w:rsidR="00B8557A" w:rsidRPr="00436AD8">
              <w:rPr>
                <w:rFonts w:cstheme="minorHAnsi"/>
              </w:rPr>
              <w:t xml:space="preserve"> </w:t>
            </w:r>
            <w:r w:rsidR="008F6ABB" w:rsidRPr="00436AD8">
              <w:rPr>
                <w:rFonts w:cstheme="minorHAnsi"/>
              </w:rPr>
              <w:t>Act</w:t>
            </w:r>
            <w:r w:rsidR="00B8557A" w:rsidRPr="00436AD8">
              <w:rPr>
                <w:rFonts w:cstheme="minorHAnsi"/>
              </w:rPr>
              <w:t xml:space="preserve"> </w:t>
            </w:r>
            <w:r w:rsidR="008F6ABB" w:rsidRPr="00436AD8">
              <w:rPr>
                <w:rFonts w:cstheme="minorHAnsi"/>
              </w:rPr>
              <w:t>is</w:t>
            </w:r>
            <w:r w:rsidR="00B8557A" w:rsidRPr="00436AD8">
              <w:rPr>
                <w:rFonts w:cstheme="minorHAnsi"/>
              </w:rPr>
              <w:t xml:space="preserve"> </w:t>
            </w:r>
            <w:r w:rsidR="008F6ABB" w:rsidRPr="00436AD8">
              <w:rPr>
                <w:rFonts w:cstheme="minorHAnsi"/>
              </w:rPr>
              <w:t>designed</w:t>
            </w:r>
            <w:r w:rsidR="00B8557A" w:rsidRPr="00436AD8">
              <w:rPr>
                <w:rFonts w:cstheme="minorHAnsi"/>
              </w:rPr>
              <w:t xml:space="preserve"> </w:t>
            </w:r>
            <w:r w:rsidR="008F6ABB" w:rsidRPr="00436AD8">
              <w:rPr>
                <w:rFonts w:cstheme="minorHAnsi"/>
              </w:rPr>
              <w:t>to</w:t>
            </w:r>
            <w:r w:rsidR="00B8557A" w:rsidRPr="00436AD8">
              <w:rPr>
                <w:rFonts w:cstheme="minorHAnsi"/>
              </w:rPr>
              <w:t xml:space="preserve"> </w:t>
            </w:r>
            <w:r w:rsidR="008F6ABB" w:rsidRPr="00436AD8">
              <w:rPr>
                <w:rFonts w:cstheme="minorHAnsi"/>
              </w:rPr>
              <w:t>encourage</w:t>
            </w:r>
            <w:r w:rsidR="00B8557A" w:rsidRPr="00436AD8">
              <w:rPr>
                <w:rFonts w:cstheme="minorHAnsi"/>
              </w:rPr>
              <w:t xml:space="preserve"> </w:t>
            </w:r>
            <w:r w:rsidR="008F6ABB" w:rsidRPr="00436AD8">
              <w:rPr>
                <w:rFonts w:cstheme="minorHAnsi"/>
              </w:rPr>
              <w:t>loans</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all</w:t>
            </w:r>
            <w:r w:rsidR="00B8557A" w:rsidRPr="00436AD8">
              <w:rPr>
                <w:rFonts w:cstheme="minorHAnsi"/>
              </w:rPr>
              <w:t xml:space="preserve"> </w:t>
            </w:r>
            <w:r w:rsidR="008F6ABB" w:rsidRPr="00436AD8">
              <w:rPr>
                <w:rFonts w:cstheme="minorHAnsi"/>
              </w:rPr>
              <w:t>segments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communities.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CRE</w:t>
            </w:r>
          </w:p>
        </w:tc>
        <w:tc>
          <w:tcPr>
            <w:tcW w:w="0" w:type="auto"/>
            <w:vAlign w:val="center"/>
            <w:hideMark/>
          </w:tcPr>
          <w:p w:rsidR="008F6ABB" w:rsidRPr="00436AD8" w:rsidRDefault="008F6ABB" w:rsidP="00EE1148">
            <w:pPr>
              <w:rPr>
                <w:rFonts w:cstheme="minorHAnsi"/>
              </w:rPr>
            </w:pPr>
            <w:r w:rsidRPr="00436AD8">
              <w:rPr>
                <w:rFonts w:cstheme="minorHAnsi"/>
              </w:rPr>
              <w:t>Commercial</w:t>
            </w:r>
            <w:r w:rsidR="00B8557A" w:rsidRPr="00436AD8">
              <w:rPr>
                <w:rFonts w:cstheme="minorHAnsi"/>
              </w:rPr>
              <w:t xml:space="preserve"> </w:t>
            </w:r>
            <w:r w:rsidRPr="00436AD8">
              <w:rPr>
                <w:rFonts w:cstheme="minorHAnsi"/>
              </w:rPr>
              <w:t>Real</w:t>
            </w:r>
            <w:r w:rsidR="00B8557A" w:rsidRPr="00436AD8">
              <w:rPr>
                <w:rFonts w:cstheme="minorHAnsi"/>
              </w:rPr>
              <w:t xml:space="preserve"> </w:t>
            </w:r>
            <w:r w:rsidRPr="00436AD8">
              <w:rPr>
                <w:rFonts w:cstheme="minorHAnsi"/>
              </w:rPr>
              <w:t>Estate</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CSBS</w:t>
            </w:r>
          </w:p>
        </w:tc>
        <w:tc>
          <w:tcPr>
            <w:tcW w:w="0" w:type="auto"/>
            <w:vAlign w:val="center"/>
            <w:hideMark/>
          </w:tcPr>
          <w:p w:rsidR="008F6ABB" w:rsidRPr="00436AD8" w:rsidRDefault="00CC73A1" w:rsidP="00EE1148">
            <w:pPr>
              <w:rPr>
                <w:rFonts w:cstheme="minorHAnsi"/>
              </w:rPr>
            </w:pPr>
            <w:hyperlink r:id="rId70" w:history="1">
              <w:r w:rsidR="008F6ABB" w:rsidRPr="00436AD8">
                <w:rPr>
                  <w:rStyle w:val="Hyperlink"/>
                  <w:rFonts w:cstheme="minorHAnsi"/>
                </w:rPr>
                <w:t>Conference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State</w:t>
              </w:r>
              <w:r w:rsidR="00B8557A" w:rsidRPr="00436AD8">
                <w:rPr>
                  <w:rStyle w:val="Hyperlink"/>
                  <w:rFonts w:cstheme="minorHAnsi"/>
                </w:rPr>
                <w:t xml:space="preserve"> </w:t>
              </w:r>
              <w:r w:rsidR="008F6ABB" w:rsidRPr="00436AD8">
                <w:rPr>
                  <w:rStyle w:val="Hyperlink"/>
                  <w:rFonts w:cstheme="minorHAnsi"/>
                </w:rPr>
                <w:t>Bank</w:t>
              </w:r>
              <w:r w:rsidR="00B8557A" w:rsidRPr="00436AD8">
                <w:rPr>
                  <w:rStyle w:val="Hyperlink"/>
                  <w:rFonts w:cstheme="minorHAnsi"/>
                </w:rPr>
                <w:t xml:space="preserve"> </w:t>
              </w:r>
              <w:r w:rsidR="008F6ABB" w:rsidRPr="00436AD8">
                <w:rPr>
                  <w:rStyle w:val="Hyperlink"/>
                  <w:rFonts w:cstheme="minorHAnsi"/>
                </w:rPr>
                <w:t>Supervisors</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CTR</w:t>
            </w:r>
          </w:p>
        </w:tc>
        <w:tc>
          <w:tcPr>
            <w:tcW w:w="0" w:type="auto"/>
            <w:vAlign w:val="center"/>
            <w:hideMark/>
          </w:tcPr>
          <w:p w:rsidR="008F6ABB" w:rsidRPr="00436AD8" w:rsidRDefault="00CC73A1" w:rsidP="00EE1148">
            <w:pPr>
              <w:rPr>
                <w:rFonts w:cstheme="minorHAnsi"/>
              </w:rPr>
            </w:pPr>
            <w:hyperlink r:id="rId71" w:history="1">
              <w:r w:rsidR="008F6ABB" w:rsidRPr="00436AD8">
                <w:rPr>
                  <w:rStyle w:val="Hyperlink"/>
                  <w:rFonts w:cstheme="minorHAnsi"/>
                </w:rPr>
                <w:t>Currency</w:t>
              </w:r>
              <w:r w:rsidR="00B8557A" w:rsidRPr="00436AD8">
                <w:rPr>
                  <w:rStyle w:val="Hyperlink"/>
                  <w:rFonts w:cstheme="minorHAnsi"/>
                </w:rPr>
                <w:t xml:space="preserve"> </w:t>
              </w:r>
              <w:r w:rsidR="008F6ABB" w:rsidRPr="00436AD8">
                <w:rPr>
                  <w:rStyle w:val="Hyperlink"/>
                  <w:rFonts w:cstheme="minorHAnsi"/>
                </w:rPr>
                <w:t>Transaction</w:t>
              </w:r>
              <w:r w:rsidR="00B8557A" w:rsidRPr="00436AD8">
                <w:rPr>
                  <w:rStyle w:val="Hyperlink"/>
                  <w:rFonts w:cstheme="minorHAnsi"/>
                </w:rPr>
                <w:t xml:space="preserve"> </w:t>
              </w:r>
              <w:r w:rsidR="008F6ABB" w:rsidRPr="00436AD8">
                <w:rPr>
                  <w:rStyle w:val="Hyperlink"/>
                  <w:rFonts w:cstheme="minorHAnsi"/>
                </w:rPr>
                <w:t>Report</w:t>
              </w:r>
            </w:hyperlink>
            <w:r w:rsidR="008F6ABB" w:rsidRPr="00436AD8">
              <w:rPr>
                <w:rFonts w:cstheme="minorHAnsi"/>
              </w:rPr>
              <w:t>.</w:t>
            </w:r>
            <w:r w:rsidR="00B8557A" w:rsidRPr="00436AD8">
              <w:rPr>
                <w:rFonts w:cstheme="minorHAnsi"/>
              </w:rPr>
              <w:t xml:space="preserve"> </w:t>
            </w:r>
            <w:r w:rsidR="008F6ABB" w:rsidRPr="00436AD8">
              <w:rPr>
                <w:rFonts w:cstheme="minorHAnsi"/>
              </w:rPr>
              <w:t>Filed</w:t>
            </w:r>
            <w:r w:rsidR="00B8557A" w:rsidRPr="00436AD8">
              <w:rPr>
                <w:rFonts w:cstheme="minorHAnsi"/>
              </w:rPr>
              <w:t xml:space="preserve"> </w:t>
            </w:r>
            <w:r w:rsidR="008F6ABB" w:rsidRPr="00436AD8">
              <w:rPr>
                <w:rFonts w:cstheme="minorHAnsi"/>
              </w:rPr>
              <w:t>for</w:t>
            </w:r>
            <w:r w:rsidR="00B8557A" w:rsidRPr="00436AD8">
              <w:rPr>
                <w:rFonts w:cstheme="minorHAnsi"/>
              </w:rPr>
              <w:t xml:space="preserve"> </w:t>
            </w:r>
            <w:r w:rsidR="008F6ABB" w:rsidRPr="00436AD8">
              <w:rPr>
                <w:rFonts w:cstheme="minorHAnsi"/>
              </w:rPr>
              <w:t>each</w:t>
            </w:r>
            <w:r w:rsidR="00B8557A" w:rsidRPr="00436AD8">
              <w:rPr>
                <w:rFonts w:cstheme="minorHAnsi"/>
              </w:rPr>
              <w:t xml:space="preserve"> </w:t>
            </w:r>
            <w:r w:rsidR="008F6ABB" w:rsidRPr="00436AD8">
              <w:rPr>
                <w:rFonts w:cstheme="minorHAnsi"/>
              </w:rPr>
              <w:t>deposit,</w:t>
            </w:r>
            <w:r w:rsidR="00B8557A" w:rsidRPr="00436AD8">
              <w:rPr>
                <w:rFonts w:cstheme="minorHAnsi"/>
              </w:rPr>
              <w:t xml:space="preserve"> </w:t>
            </w:r>
            <w:r w:rsidR="008F6ABB" w:rsidRPr="00436AD8">
              <w:rPr>
                <w:rFonts w:cstheme="minorHAnsi"/>
              </w:rPr>
              <w:t>withdrawal,</w:t>
            </w:r>
            <w:r w:rsidR="00B8557A" w:rsidRPr="00436AD8">
              <w:rPr>
                <w:rFonts w:cstheme="minorHAnsi"/>
              </w:rPr>
              <w:t xml:space="preserve"> </w:t>
            </w:r>
            <w:r w:rsidR="008F6ABB" w:rsidRPr="00436AD8">
              <w:rPr>
                <w:rFonts w:cstheme="minorHAnsi"/>
              </w:rPr>
              <w:t>exchange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currency</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involves</w:t>
            </w:r>
            <w:r w:rsidR="00B8557A" w:rsidRPr="00436AD8">
              <w:rPr>
                <w:rFonts w:cstheme="minorHAnsi"/>
              </w:rPr>
              <w:t xml:space="preserve"> </w:t>
            </w:r>
            <w:r w:rsidR="008F6ABB" w:rsidRPr="00436AD8">
              <w:rPr>
                <w:rFonts w:cstheme="minorHAnsi"/>
              </w:rPr>
              <w:t>a</w:t>
            </w:r>
            <w:r w:rsidR="00B8557A" w:rsidRPr="00436AD8">
              <w:rPr>
                <w:rFonts w:cstheme="minorHAnsi"/>
              </w:rPr>
              <w:t xml:space="preserve"> </w:t>
            </w:r>
            <w:r w:rsidR="008F6ABB" w:rsidRPr="00436AD8">
              <w:rPr>
                <w:rFonts w:cstheme="minorHAnsi"/>
              </w:rPr>
              <w:t>transaction</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currency</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more</w:t>
            </w:r>
            <w:r w:rsidR="00B8557A" w:rsidRPr="00436AD8">
              <w:rPr>
                <w:rFonts w:cstheme="minorHAnsi"/>
              </w:rPr>
              <w:t xml:space="preserve"> </w:t>
            </w:r>
            <w:r w:rsidR="008F6ABB" w:rsidRPr="00436AD8">
              <w:rPr>
                <w:rFonts w:cstheme="minorHAnsi"/>
              </w:rPr>
              <w:t>than</w:t>
            </w:r>
            <w:r w:rsidR="00B8557A" w:rsidRPr="00436AD8">
              <w:rPr>
                <w:rFonts w:cstheme="minorHAnsi"/>
              </w:rPr>
              <w:t xml:space="preserve"> </w:t>
            </w:r>
            <w:r w:rsidR="008F6ABB" w:rsidRPr="00436AD8">
              <w:rPr>
                <w:rFonts w:cstheme="minorHAnsi"/>
              </w:rPr>
              <w:t>$10,000.</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Dodd-Frank</w:t>
            </w:r>
            <w:r w:rsidR="00B8557A" w:rsidRPr="00436AD8">
              <w:rPr>
                <w:rFonts w:cstheme="minorHAnsi"/>
              </w:rPr>
              <w:t xml:space="preserve"> </w:t>
            </w:r>
            <w:r w:rsidRPr="00436AD8">
              <w:rPr>
                <w:rFonts w:cstheme="minorHAnsi"/>
              </w:rPr>
              <w:t>Act</w:t>
            </w:r>
          </w:p>
        </w:tc>
        <w:tc>
          <w:tcPr>
            <w:tcW w:w="0" w:type="auto"/>
            <w:vAlign w:val="center"/>
            <w:hideMark/>
          </w:tcPr>
          <w:p w:rsidR="008F6ABB" w:rsidRPr="00436AD8" w:rsidRDefault="00CC73A1" w:rsidP="00EE1148">
            <w:pPr>
              <w:rPr>
                <w:rFonts w:cstheme="minorHAnsi"/>
              </w:rPr>
            </w:pPr>
            <w:hyperlink r:id="rId72" w:history="1">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Dodd–Frank</w:t>
              </w:r>
              <w:r w:rsidR="00B8557A" w:rsidRPr="00436AD8">
                <w:rPr>
                  <w:rStyle w:val="Hyperlink"/>
                  <w:rFonts w:cstheme="minorHAnsi"/>
                </w:rPr>
                <w:t xml:space="preserve"> </w:t>
              </w:r>
              <w:r w:rsidR="008F6ABB" w:rsidRPr="00436AD8">
                <w:rPr>
                  <w:rStyle w:val="Hyperlink"/>
                  <w:rFonts w:cstheme="minorHAnsi"/>
                </w:rPr>
                <w:t>Wall</w:t>
              </w:r>
              <w:r w:rsidR="00B8557A" w:rsidRPr="00436AD8">
                <w:rPr>
                  <w:rStyle w:val="Hyperlink"/>
                  <w:rFonts w:cstheme="minorHAnsi"/>
                </w:rPr>
                <w:t xml:space="preserve"> </w:t>
              </w:r>
              <w:r w:rsidR="008F6ABB" w:rsidRPr="00436AD8">
                <w:rPr>
                  <w:rStyle w:val="Hyperlink"/>
                  <w:rFonts w:cstheme="minorHAnsi"/>
                </w:rPr>
                <w:t>Street</w:t>
              </w:r>
              <w:r w:rsidR="00B8557A" w:rsidRPr="00436AD8">
                <w:rPr>
                  <w:rStyle w:val="Hyperlink"/>
                  <w:rFonts w:cstheme="minorHAnsi"/>
                </w:rPr>
                <w:t xml:space="preserve"> </w:t>
              </w:r>
              <w:r w:rsidR="008F6ABB" w:rsidRPr="00436AD8">
                <w:rPr>
                  <w:rStyle w:val="Hyperlink"/>
                  <w:rFonts w:cstheme="minorHAnsi"/>
                </w:rPr>
                <w:t>Reform</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Protection</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DOJ</w:t>
            </w:r>
          </w:p>
        </w:tc>
        <w:tc>
          <w:tcPr>
            <w:tcW w:w="0" w:type="auto"/>
            <w:vAlign w:val="center"/>
            <w:hideMark/>
          </w:tcPr>
          <w:p w:rsidR="008F6ABB" w:rsidRPr="00436AD8" w:rsidRDefault="00CC73A1" w:rsidP="00EE1148">
            <w:pPr>
              <w:rPr>
                <w:rFonts w:cstheme="minorHAnsi"/>
              </w:rPr>
            </w:pPr>
            <w:hyperlink r:id="rId73" w:history="1">
              <w:r w:rsidR="008F6ABB" w:rsidRPr="00436AD8">
                <w:rPr>
                  <w:rStyle w:val="Hyperlink"/>
                  <w:rFonts w:cstheme="minorHAnsi"/>
                </w:rPr>
                <w:t>Department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Justice</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FDIC</w:t>
            </w:r>
            <w:r w:rsidR="00B8557A" w:rsidRPr="00436AD8">
              <w:rPr>
                <w:rFonts w:cstheme="minorHAnsi"/>
              </w:rPr>
              <w:t xml:space="preserve"> </w:t>
            </w:r>
          </w:p>
        </w:tc>
        <w:tc>
          <w:tcPr>
            <w:tcW w:w="0" w:type="auto"/>
            <w:vAlign w:val="center"/>
            <w:hideMark/>
          </w:tcPr>
          <w:p w:rsidR="008F6ABB" w:rsidRPr="00436AD8" w:rsidRDefault="00CC73A1" w:rsidP="00EE1148">
            <w:pPr>
              <w:rPr>
                <w:rFonts w:cstheme="minorHAnsi"/>
              </w:rPr>
            </w:pPr>
            <w:hyperlink r:id="rId74"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Deposit</w:t>
              </w:r>
              <w:r w:rsidR="00B8557A" w:rsidRPr="00436AD8">
                <w:rPr>
                  <w:rStyle w:val="Hyperlink"/>
                  <w:rFonts w:cstheme="minorHAnsi"/>
                </w:rPr>
                <w:t xml:space="preserve"> </w:t>
              </w:r>
              <w:r w:rsidR="008F6ABB" w:rsidRPr="00436AD8">
                <w:rPr>
                  <w:rStyle w:val="Hyperlink"/>
                  <w:rFonts w:cstheme="minorHAnsi"/>
                </w:rPr>
                <w:t>Insurance</w:t>
              </w:r>
              <w:r w:rsidR="00B8557A" w:rsidRPr="00436AD8">
                <w:rPr>
                  <w:rStyle w:val="Hyperlink"/>
                  <w:rFonts w:cstheme="minorHAnsi"/>
                </w:rPr>
                <w:t xml:space="preserve"> </w:t>
              </w:r>
              <w:r w:rsidR="008F6ABB" w:rsidRPr="00436AD8">
                <w:rPr>
                  <w:rStyle w:val="Hyperlink"/>
                  <w:rFonts w:cstheme="minorHAnsi"/>
                </w:rPr>
                <w:t>Corporation</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EFTA</w:t>
            </w:r>
          </w:p>
        </w:tc>
        <w:tc>
          <w:tcPr>
            <w:tcW w:w="0" w:type="auto"/>
            <w:vAlign w:val="center"/>
            <w:hideMark/>
          </w:tcPr>
          <w:p w:rsidR="008F6ABB" w:rsidRPr="00436AD8" w:rsidRDefault="00CC73A1" w:rsidP="00EE1148">
            <w:pPr>
              <w:rPr>
                <w:rFonts w:cstheme="minorHAnsi"/>
              </w:rPr>
            </w:pPr>
            <w:hyperlink r:id="rId75" w:history="1">
              <w:r w:rsidR="008F6ABB" w:rsidRPr="00436AD8">
                <w:rPr>
                  <w:rStyle w:val="Hyperlink"/>
                  <w:rFonts w:cstheme="minorHAnsi"/>
                </w:rPr>
                <w:t>Electronic</w:t>
              </w:r>
              <w:r w:rsidR="00B8557A" w:rsidRPr="00436AD8">
                <w:rPr>
                  <w:rStyle w:val="Hyperlink"/>
                  <w:rFonts w:cstheme="minorHAnsi"/>
                </w:rPr>
                <w:t xml:space="preserve"> </w:t>
              </w:r>
              <w:r w:rsidR="008F6ABB" w:rsidRPr="00436AD8">
                <w:rPr>
                  <w:rStyle w:val="Hyperlink"/>
                  <w:rFonts w:cstheme="minorHAnsi"/>
                </w:rPr>
                <w:t>Fund</w:t>
              </w:r>
              <w:r w:rsidR="00B8557A" w:rsidRPr="00436AD8">
                <w:rPr>
                  <w:rStyle w:val="Hyperlink"/>
                  <w:rFonts w:cstheme="minorHAnsi"/>
                </w:rPr>
                <w:t xml:space="preserve"> </w:t>
              </w:r>
              <w:r w:rsidR="008F6ABB" w:rsidRPr="00436AD8">
                <w:rPr>
                  <w:rStyle w:val="Hyperlink"/>
                  <w:rFonts w:cstheme="minorHAnsi"/>
                </w:rPr>
                <w:t>Transfer</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Federal</w:t>
            </w:r>
            <w:r w:rsidR="00B8557A" w:rsidRPr="00436AD8">
              <w:rPr>
                <w:rFonts w:cstheme="minorHAnsi"/>
              </w:rPr>
              <w:t xml:space="preserve"> </w:t>
            </w:r>
            <w:r w:rsidRPr="00436AD8">
              <w:rPr>
                <w:rFonts w:cstheme="minorHAnsi"/>
              </w:rPr>
              <w:t>bank</w:t>
            </w:r>
            <w:r w:rsidR="00B8557A" w:rsidRPr="00436AD8">
              <w:rPr>
                <w:rFonts w:cstheme="minorHAnsi"/>
              </w:rPr>
              <w:t xml:space="preserve"> </w:t>
            </w:r>
            <w:r w:rsidRPr="00436AD8">
              <w:rPr>
                <w:rFonts w:cstheme="minorHAnsi"/>
              </w:rPr>
              <w:t>regulatory</w:t>
            </w:r>
            <w:r w:rsidR="00B8557A" w:rsidRPr="00436AD8">
              <w:rPr>
                <w:rFonts w:cstheme="minorHAnsi"/>
              </w:rPr>
              <w:t xml:space="preserve"> </w:t>
            </w:r>
            <w:r w:rsidRPr="00436AD8">
              <w:rPr>
                <w:rFonts w:cstheme="minorHAnsi"/>
              </w:rPr>
              <w:t>agencies</w:t>
            </w:r>
            <w:r w:rsidR="00B8557A" w:rsidRPr="00436AD8">
              <w:rPr>
                <w:rFonts w:cstheme="minorHAnsi"/>
              </w:rPr>
              <w:t xml:space="preserve"> </w:t>
            </w:r>
          </w:p>
        </w:tc>
        <w:tc>
          <w:tcPr>
            <w:tcW w:w="0" w:type="auto"/>
            <w:vAlign w:val="center"/>
            <w:hideMark/>
          </w:tcPr>
          <w:p w:rsidR="008F6ABB" w:rsidRPr="00436AD8" w:rsidRDefault="008F6ABB" w:rsidP="00EE1148">
            <w:pPr>
              <w:rPr>
                <w:rFonts w:cstheme="minorHAnsi"/>
              </w:rPr>
            </w:pPr>
            <w:r w:rsidRPr="00436AD8">
              <w:rPr>
                <w:rFonts w:cstheme="minorHAnsi"/>
              </w:rPr>
              <w:t>FDIC,</w:t>
            </w:r>
            <w:r w:rsidR="00B8557A" w:rsidRPr="00436AD8">
              <w:rPr>
                <w:rFonts w:cstheme="minorHAnsi"/>
              </w:rPr>
              <w:t xml:space="preserve"> </w:t>
            </w:r>
            <w:r w:rsidRPr="00436AD8">
              <w:rPr>
                <w:rFonts w:cstheme="minorHAnsi"/>
              </w:rPr>
              <w:t>FRB,</w:t>
            </w:r>
            <w:r w:rsidR="00B8557A" w:rsidRPr="00436AD8">
              <w:rPr>
                <w:rFonts w:cstheme="minorHAnsi"/>
              </w:rPr>
              <w:t xml:space="preserve"> </w:t>
            </w:r>
            <w:r w:rsidRPr="00436AD8">
              <w:rPr>
                <w:rFonts w:cstheme="minorHAnsi"/>
              </w:rPr>
              <w:t>and</w:t>
            </w:r>
            <w:r w:rsidR="00B8557A" w:rsidRPr="00436AD8">
              <w:rPr>
                <w:rFonts w:cstheme="minorHAnsi"/>
              </w:rPr>
              <w:t xml:space="preserve"> </w:t>
            </w:r>
            <w:r w:rsidRPr="00436AD8">
              <w:rPr>
                <w:rFonts w:cstheme="minorHAnsi"/>
              </w:rPr>
              <w:t>OCC</w:t>
            </w:r>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Federal</w:t>
            </w:r>
            <w:r w:rsidR="00B8557A" w:rsidRPr="00436AD8">
              <w:rPr>
                <w:rFonts w:cstheme="minorHAnsi"/>
              </w:rPr>
              <w:t xml:space="preserve"> </w:t>
            </w:r>
            <w:r w:rsidRPr="00436AD8">
              <w:rPr>
                <w:rFonts w:cstheme="minorHAnsi"/>
              </w:rPr>
              <w:t>financial</w:t>
            </w:r>
            <w:r w:rsidR="00B8557A" w:rsidRPr="00436AD8">
              <w:rPr>
                <w:rFonts w:cstheme="minorHAnsi"/>
              </w:rPr>
              <w:t xml:space="preserve"> </w:t>
            </w:r>
            <w:r w:rsidRPr="00436AD8">
              <w:rPr>
                <w:rFonts w:cstheme="minorHAnsi"/>
              </w:rPr>
              <w:t>institution</w:t>
            </w:r>
            <w:r w:rsidR="00B8557A" w:rsidRPr="00436AD8">
              <w:rPr>
                <w:rFonts w:cstheme="minorHAnsi"/>
              </w:rPr>
              <w:t xml:space="preserve"> </w:t>
            </w:r>
            <w:r w:rsidRPr="00436AD8">
              <w:rPr>
                <w:rFonts w:cstheme="minorHAnsi"/>
              </w:rPr>
              <w:t>regulatory</w:t>
            </w:r>
            <w:r w:rsidR="00B8557A" w:rsidRPr="00436AD8">
              <w:rPr>
                <w:rFonts w:cstheme="minorHAnsi"/>
              </w:rPr>
              <w:t xml:space="preserve"> </w:t>
            </w:r>
            <w:r w:rsidRPr="00436AD8">
              <w:rPr>
                <w:rFonts w:cstheme="minorHAnsi"/>
              </w:rPr>
              <w:t>agencies</w:t>
            </w:r>
            <w:r w:rsidR="00B8557A" w:rsidRPr="00436AD8">
              <w:rPr>
                <w:rFonts w:cstheme="minorHAnsi"/>
              </w:rPr>
              <w:t xml:space="preserve"> </w:t>
            </w:r>
          </w:p>
        </w:tc>
        <w:tc>
          <w:tcPr>
            <w:tcW w:w="0" w:type="auto"/>
            <w:vAlign w:val="center"/>
            <w:hideMark/>
          </w:tcPr>
          <w:p w:rsidR="008F6ABB" w:rsidRPr="00436AD8" w:rsidRDefault="008F6ABB" w:rsidP="00EE1148">
            <w:pPr>
              <w:rPr>
                <w:rFonts w:cstheme="minorHAnsi"/>
              </w:rPr>
            </w:pPr>
            <w:r w:rsidRPr="00436AD8">
              <w:rPr>
                <w:rFonts w:cstheme="minorHAnsi"/>
              </w:rPr>
              <w:t>CFPB,</w:t>
            </w:r>
            <w:r w:rsidR="00B8557A" w:rsidRPr="00436AD8">
              <w:rPr>
                <w:rFonts w:cstheme="minorHAnsi"/>
              </w:rPr>
              <w:t xml:space="preserve"> </w:t>
            </w:r>
            <w:r w:rsidRPr="00436AD8">
              <w:rPr>
                <w:rFonts w:cstheme="minorHAnsi"/>
              </w:rPr>
              <w:t>FDIC,</w:t>
            </w:r>
            <w:r w:rsidR="00B8557A" w:rsidRPr="00436AD8">
              <w:rPr>
                <w:rFonts w:cstheme="minorHAnsi"/>
              </w:rPr>
              <w:t xml:space="preserve"> </w:t>
            </w:r>
            <w:r w:rsidRPr="00436AD8">
              <w:rPr>
                <w:rFonts w:cstheme="minorHAnsi"/>
              </w:rPr>
              <w:t>FRB,</w:t>
            </w:r>
            <w:r w:rsidR="00B8557A" w:rsidRPr="00436AD8">
              <w:rPr>
                <w:rFonts w:cstheme="minorHAnsi"/>
              </w:rPr>
              <w:t xml:space="preserve"> </w:t>
            </w:r>
            <w:r w:rsidRPr="00436AD8">
              <w:rPr>
                <w:rFonts w:cstheme="minorHAnsi"/>
              </w:rPr>
              <w:t>NCUA,</w:t>
            </w:r>
            <w:r w:rsidR="00B8557A" w:rsidRPr="00436AD8">
              <w:rPr>
                <w:rFonts w:cstheme="minorHAnsi"/>
              </w:rPr>
              <w:t xml:space="preserve"> </w:t>
            </w:r>
            <w:r w:rsidRPr="00436AD8">
              <w:rPr>
                <w:rFonts w:cstheme="minorHAnsi"/>
              </w:rPr>
              <w:t>and</w:t>
            </w:r>
            <w:r w:rsidR="00B8557A" w:rsidRPr="00436AD8">
              <w:rPr>
                <w:rFonts w:cstheme="minorHAnsi"/>
              </w:rPr>
              <w:t xml:space="preserve"> </w:t>
            </w:r>
            <w:r w:rsidRPr="00436AD8">
              <w:rPr>
                <w:rFonts w:cstheme="minorHAnsi"/>
              </w:rPr>
              <w:t>OCC</w:t>
            </w:r>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FEMA</w:t>
            </w:r>
          </w:p>
        </w:tc>
        <w:tc>
          <w:tcPr>
            <w:tcW w:w="0" w:type="auto"/>
            <w:vAlign w:val="center"/>
            <w:hideMark/>
          </w:tcPr>
          <w:p w:rsidR="008F6ABB" w:rsidRPr="00436AD8" w:rsidRDefault="00CC73A1" w:rsidP="00EE1148">
            <w:pPr>
              <w:rPr>
                <w:rFonts w:cstheme="minorHAnsi"/>
              </w:rPr>
            </w:pPr>
            <w:hyperlink r:id="rId76"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Emergency</w:t>
              </w:r>
              <w:r w:rsidR="00B8557A" w:rsidRPr="00436AD8">
                <w:rPr>
                  <w:rStyle w:val="Hyperlink"/>
                  <w:rFonts w:cstheme="minorHAnsi"/>
                </w:rPr>
                <w:t xml:space="preserve"> </w:t>
              </w:r>
              <w:r w:rsidR="008F6ABB" w:rsidRPr="00436AD8">
                <w:rPr>
                  <w:rStyle w:val="Hyperlink"/>
                  <w:rFonts w:cstheme="minorHAnsi"/>
                </w:rPr>
                <w:t>Management</w:t>
              </w:r>
              <w:r w:rsidR="00B8557A" w:rsidRPr="00436AD8">
                <w:rPr>
                  <w:rStyle w:val="Hyperlink"/>
                  <w:rFonts w:cstheme="minorHAnsi"/>
                </w:rPr>
                <w:t xml:space="preserve"> </w:t>
              </w:r>
              <w:r w:rsidR="008F6ABB" w:rsidRPr="00436AD8">
                <w:rPr>
                  <w:rStyle w:val="Hyperlink"/>
                  <w:rFonts w:cstheme="minorHAnsi"/>
                </w:rPr>
                <w:t>Agency</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FFIEC</w:t>
            </w:r>
          </w:p>
        </w:tc>
        <w:tc>
          <w:tcPr>
            <w:tcW w:w="0" w:type="auto"/>
            <w:vAlign w:val="center"/>
            <w:hideMark/>
          </w:tcPr>
          <w:p w:rsidR="008F6ABB" w:rsidRPr="00436AD8" w:rsidRDefault="00CC73A1" w:rsidP="00EE1148">
            <w:pPr>
              <w:rPr>
                <w:rFonts w:cstheme="minorHAnsi"/>
              </w:rPr>
            </w:pPr>
            <w:hyperlink r:id="rId77"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Institutions</w:t>
              </w:r>
              <w:r w:rsidR="00B8557A" w:rsidRPr="00436AD8">
                <w:rPr>
                  <w:rStyle w:val="Hyperlink"/>
                  <w:rFonts w:cstheme="minorHAnsi"/>
                </w:rPr>
                <w:t xml:space="preserve"> </w:t>
              </w:r>
              <w:r w:rsidR="008F6ABB" w:rsidRPr="00436AD8">
                <w:rPr>
                  <w:rStyle w:val="Hyperlink"/>
                  <w:rFonts w:cstheme="minorHAnsi"/>
                </w:rPr>
                <w:t>Examination</w:t>
              </w:r>
              <w:r w:rsidR="00B8557A" w:rsidRPr="00436AD8">
                <w:rPr>
                  <w:rStyle w:val="Hyperlink"/>
                  <w:rFonts w:cstheme="minorHAnsi"/>
                </w:rPr>
                <w:t xml:space="preserve"> </w:t>
              </w:r>
              <w:r w:rsidR="008F6ABB" w:rsidRPr="00436AD8">
                <w:rPr>
                  <w:rStyle w:val="Hyperlink"/>
                  <w:rFonts w:cstheme="minorHAnsi"/>
                </w:rPr>
                <w:t>Council</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FHFA</w:t>
            </w:r>
          </w:p>
        </w:tc>
        <w:tc>
          <w:tcPr>
            <w:tcW w:w="0" w:type="auto"/>
            <w:vAlign w:val="center"/>
            <w:hideMark/>
          </w:tcPr>
          <w:p w:rsidR="008F6ABB" w:rsidRPr="00436AD8" w:rsidRDefault="00CC73A1" w:rsidP="00EE1148">
            <w:pPr>
              <w:rPr>
                <w:rFonts w:cstheme="minorHAnsi"/>
              </w:rPr>
            </w:pPr>
            <w:hyperlink r:id="rId78"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Finance</w:t>
              </w:r>
              <w:r w:rsidR="00B8557A" w:rsidRPr="00436AD8">
                <w:rPr>
                  <w:rStyle w:val="Hyperlink"/>
                  <w:rFonts w:cstheme="minorHAnsi"/>
                </w:rPr>
                <w:t xml:space="preserve"> </w:t>
              </w:r>
              <w:r w:rsidR="008F6ABB" w:rsidRPr="00436AD8">
                <w:rPr>
                  <w:rStyle w:val="Hyperlink"/>
                  <w:rFonts w:cstheme="minorHAnsi"/>
                </w:rPr>
                <w:t>Agency</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FHA</w:t>
            </w:r>
          </w:p>
        </w:tc>
        <w:tc>
          <w:tcPr>
            <w:tcW w:w="0" w:type="auto"/>
            <w:vAlign w:val="center"/>
            <w:hideMark/>
          </w:tcPr>
          <w:p w:rsidR="008F6ABB" w:rsidRPr="00436AD8" w:rsidRDefault="00CC73A1" w:rsidP="00EE1148">
            <w:pPr>
              <w:rPr>
                <w:rFonts w:cstheme="minorHAnsi"/>
              </w:rPr>
            </w:pPr>
            <w:hyperlink r:id="rId79"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Administration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FinCEN</w:t>
            </w:r>
          </w:p>
        </w:tc>
        <w:tc>
          <w:tcPr>
            <w:tcW w:w="0" w:type="auto"/>
            <w:vAlign w:val="center"/>
            <w:hideMark/>
          </w:tcPr>
          <w:p w:rsidR="008F6ABB" w:rsidRPr="00436AD8" w:rsidRDefault="00CC73A1" w:rsidP="00EE1148">
            <w:pPr>
              <w:rPr>
                <w:rFonts w:cstheme="minorHAnsi"/>
              </w:rPr>
            </w:pPr>
            <w:hyperlink r:id="rId80" w:history="1">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Crime</w:t>
              </w:r>
              <w:r w:rsidR="00B8557A" w:rsidRPr="00436AD8">
                <w:rPr>
                  <w:rStyle w:val="Hyperlink"/>
                  <w:rFonts w:cstheme="minorHAnsi"/>
                </w:rPr>
                <w:t xml:space="preserve"> </w:t>
              </w:r>
              <w:r w:rsidR="008F6ABB" w:rsidRPr="00436AD8">
                <w:rPr>
                  <w:rStyle w:val="Hyperlink"/>
                  <w:rFonts w:cstheme="minorHAnsi"/>
                </w:rPr>
                <w:t>Enforcement</w:t>
              </w:r>
              <w:r w:rsidR="00B8557A" w:rsidRPr="00436AD8">
                <w:rPr>
                  <w:rStyle w:val="Hyperlink"/>
                  <w:rFonts w:cstheme="minorHAnsi"/>
                </w:rPr>
                <w:t xml:space="preserve"> </w:t>
              </w:r>
              <w:r w:rsidR="008F6ABB" w:rsidRPr="00436AD8">
                <w:rPr>
                  <w:rStyle w:val="Hyperlink"/>
                  <w:rFonts w:cstheme="minorHAnsi"/>
                </w:rPr>
                <w:t>Network</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FR</w:t>
            </w:r>
          </w:p>
        </w:tc>
        <w:tc>
          <w:tcPr>
            <w:tcW w:w="0" w:type="auto"/>
            <w:vAlign w:val="center"/>
            <w:hideMark/>
          </w:tcPr>
          <w:p w:rsidR="008F6ABB" w:rsidRPr="00436AD8" w:rsidRDefault="00CC73A1" w:rsidP="00EE1148">
            <w:pPr>
              <w:rPr>
                <w:rFonts w:cstheme="minorHAnsi"/>
              </w:rPr>
            </w:pPr>
            <w:hyperlink r:id="rId81"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Register</w:t>
              </w:r>
            </w:hyperlink>
            <w:r w:rsidR="008F6ABB" w:rsidRPr="00436AD8">
              <w:rPr>
                <w:rFonts w:cstheme="minorHAnsi"/>
              </w:rPr>
              <w:t>.</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daily</w:t>
            </w:r>
            <w:r w:rsidR="00B8557A" w:rsidRPr="00436AD8">
              <w:rPr>
                <w:rFonts w:cstheme="minorHAnsi"/>
              </w:rPr>
              <w:t xml:space="preserve"> </w:t>
            </w:r>
            <w:r w:rsidR="008F6ABB" w:rsidRPr="00436AD8">
              <w:rPr>
                <w:rFonts w:cstheme="minorHAnsi"/>
              </w:rPr>
              <w:t>publication</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contains</w:t>
            </w:r>
            <w:r w:rsidR="00B8557A" w:rsidRPr="00436AD8">
              <w:rPr>
                <w:rFonts w:cstheme="minorHAnsi"/>
              </w:rPr>
              <w:t xml:space="preserve"> </w:t>
            </w:r>
            <w:r w:rsidR="008F6ABB" w:rsidRPr="00436AD8">
              <w:rPr>
                <w:rFonts w:cstheme="minorHAnsi"/>
              </w:rPr>
              <w:t>proposed</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final</w:t>
            </w:r>
            <w:r w:rsidR="00B8557A" w:rsidRPr="00436AD8">
              <w:rPr>
                <w:rFonts w:cstheme="minorHAnsi"/>
              </w:rPr>
              <w:t xml:space="preserve"> </w:t>
            </w:r>
            <w:r w:rsidR="008F6ABB" w:rsidRPr="00436AD8">
              <w:rPr>
                <w:rFonts w:cstheme="minorHAnsi"/>
              </w:rPr>
              <w:t>administrative</w:t>
            </w:r>
            <w:r w:rsidR="00B8557A" w:rsidRPr="00436AD8">
              <w:rPr>
                <w:rFonts w:cstheme="minorHAnsi"/>
              </w:rPr>
              <w:t xml:space="preserve"> </w:t>
            </w:r>
            <w:r w:rsidR="008F6ABB" w:rsidRPr="00436AD8">
              <w:rPr>
                <w:rFonts w:cstheme="minorHAnsi"/>
              </w:rPr>
              <w:t>regulations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federal</w:t>
            </w:r>
            <w:r w:rsidR="00B8557A" w:rsidRPr="00436AD8">
              <w:rPr>
                <w:rFonts w:cstheme="minorHAnsi"/>
              </w:rPr>
              <w:t xml:space="preserve"> </w:t>
            </w:r>
            <w:r w:rsidR="008F6ABB" w:rsidRPr="00436AD8">
              <w:rPr>
                <w:rFonts w:cstheme="minorHAnsi"/>
              </w:rPr>
              <w:t>agencies.</w:t>
            </w:r>
          </w:p>
        </w:tc>
      </w:tr>
      <w:tr w:rsidR="008F6ABB" w:rsidRPr="00436AD8" w:rsidTr="00E36FF6">
        <w:trPr>
          <w:cantSplit/>
          <w:trHeight w:val="144"/>
          <w:tblCellSpacing w:w="0" w:type="dxa"/>
        </w:trPr>
        <w:tc>
          <w:tcPr>
            <w:tcW w:w="0" w:type="auto"/>
            <w:vAlign w:val="center"/>
            <w:hideMark/>
          </w:tcPr>
          <w:p w:rsidR="008F6ABB" w:rsidRPr="00436AD8" w:rsidRDefault="00FE03DD" w:rsidP="00EE1148">
            <w:pPr>
              <w:rPr>
                <w:rFonts w:cstheme="minorHAnsi"/>
              </w:rPr>
            </w:pPr>
            <w:r w:rsidRPr="00436AD8">
              <w:rPr>
                <w:rFonts w:cstheme="minorHAnsi"/>
              </w:rPr>
              <w:t>FRB,</w:t>
            </w:r>
            <w:r w:rsidR="00B8557A" w:rsidRPr="00436AD8">
              <w:rPr>
                <w:rFonts w:cstheme="minorHAnsi"/>
              </w:rPr>
              <w:t xml:space="preserve"> </w:t>
            </w:r>
            <w:r w:rsidRPr="00436AD8">
              <w:rPr>
                <w:rFonts w:cstheme="minorHAnsi"/>
              </w:rPr>
              <w:t>Fed</w:t>
            </w:r>
            <w:r w:rsidR="00B8557A" w:rsidRPr="00436AD8">
              <w:rPr>
                <w:rFonts w:cstheme="minorHAnsi"/>
              </w:rPr>
              <w:t xml:space="preserve"> </w:t>
            </w:r>
            <w:r w:rsidRPr="00436AD8">
              <w:rPr>
                <w:rFonts w:cstheme="minorHAnsi"/>
              </w:rPr>
              <w:t>or</w:t>
            </w:r>
            <w:r w:rsidR="00B8557A" w:rsidRPr="00436AD8">
              <w:rPr>
                <w:rFonts w:cstheme="minorHAnsi"/>
              </w:rPr>
              <w:t xml:space="preserve"> </w:t>
            </w:r>
            <w:r w:rsidRPr="00436AD8">
              <w:rPr>
                <w:rFonts w:cstheme="minorHAnsi"/>
              </w:rPr>
              <w:t>Federal</w:t>
            </w:r>
            <w:r w:rsidR="00B8557A" w:rsidRPr="00436AD8">
              <w:rPr>
                <w:rFonts w:cstheme="minorHAnsi"/>
              </w:rPr>
              <w:t xml:space="preserve"> </w:t>
            </w:r>
            <w:r w:rsidRPr="00436AD8">
              <w:rPr>
                <w:rFonts w:cstheme="minorHAnsi"/>
              </w:rPr>
              <w:t>Reserve</w:t>
            </w:r>
          </w:p>
        </w:tc>
        <w:tc>
          <w:tcPr>
            <w:tcW w:w="0" w:type="auto"/>
            <w:vAlign w:val="center"/>
            <w:hideMark/>
          </w:tcPr>
          <w:p w:rsidR="008F6ABB" w:rsidRPr="00436AD8" w:rsidRDefault="00CC73A1" w:rsidP="00EE1148">
            <w:pPr>
              <w:rPr>
                <w:rFonts w:cstheme="minorHAnsi"/>
              </w:rPr>
            </w:pPr>
            <w:hyperlink r:id="rId82"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Reserve</w:t>
              </w:r>
              <w:r w:rsidR="00B8557A" w:rsidRPr="00436AD8">
                <w:rPr>
                  <w:rStyle w:val="Hyperlink"/>
                  <w:rFonts w:cstheme="minorHAnsi"/>
                </w:rPr>
                <w:t xml:space="preserve"> </w:t>
              </w:r>
              <w:r w:rsidR="008F6ABB" w:rsidRPr="00436AD8">
                <w:rPr>
                  <w:rStyle w:val="Hyperlink"/>
                  <w:rFonts w:cstheme="minorHAnsi"/>
                </w:rPr>
                <w:t>Board</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FSOC</w:t>
            </w:r>
          </w:p>
        </w:tc>
        <w:tc>
          <w:tcPr>
            <w:tcW w:w="0" w:type="auto"/>
            <w:vAlign w:val="center"/>
          </w:tcPr>
          <w:p w:rsidR="008F6ABB" w:rsidRPr="00436AD8" w:rsidRDefault="00CC73A1" w:rsidP="00EE1148">
            <w:pPr>
              <w:rPr>
                <w:rFonts w:cstheme="minorHAnsi"/>
              </w:rPr>
            </w:pPr>
            <w:hyperlink r:id="rId83" w:history="1">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Stability</w:t>
              </w:r>
              <w:r w:rsidR="00B8557A" w:rsidRPr="00436AD8">
                <w:rPr>
                  <w:rStyle w:val="Hyperlink"/>
                  <w:rFonts w:cstheme="minorHAnsi"/>
                </w:rPr>
                <w:t xml:space="preserve"> </w:t>
              </w:r>
              <w:r w:rsidR="008F6ABB" w:rsidRPr="00436AD8">
                <w:rPr>
                  <w:rStyle w:val="Hyperlink"/>
                  <w:rFonts w:cstheme="minorHAnsi"/>
                </w:rPr>
                <w:t>Oversight</w:t>
              </w:r>
              <w:r w:rsidR="00B8557A" w:rsidRPr="00436AD8">
                <w:rPr>
                  <w:rStyle w:val="Hyperlink"/>
                  <w:rFonts w:cstheme="minorHAnsi"/>
                </w:rPr>
                <w:t xml:space="preserve"> </w:t>
              </w:r>
              <w:r w:rsidR="008F6ABB" w:rsidRPr="00436AD8">
                <w:rPr>
                  <w:rStyle w:val="Hyperlink"/>
                  <w:rFonts w:cstheme="minorHAnsi"/>
                </w:rPr>
                <w:t>Council</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FTC</w:t>
            </w:r>
          </w:p>
        </w:tc>
        <w:tc>
          <w:tcPr>
            <w:tcW w:w="0" w:type="auto"/>
            <w:vAlign w:val="center"/>
            <w:hideMark/>
          </w:tcPr>
          <w:p w:rsidR="008F6ABB" w:rsidRPr="00436AD8" w:rsidRDefault="00CC73A1" w:rsidP="00EE1148">
            <w:pPr>
              <w:rPr>
                <w:rFonts w:cstheme="minorHAnsi"/>
              </w:rPr>
            </w:pPr>
            <w:hyperlink r:id="rId84"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Trade</w:t>
              </w:r>
              <w:r w:rsidR="00B8557A" w:rsidRPr="00436AD8">
                <w:rPr>
                  <w:rStyle w:val="Hyperlink"/>
                  <w:rFonts w:cstheme="minorHAnsi"/>
                </w:rPr>
                <w:t xml:space="preserve"> </w:t>
              </w:r>
              <w:r w:rsidR="008F6ABB" w:rsidRPr="00436AD8">
                <w:rPr>
                  <w:rStyle w:val="Hyperlink"/>
                  <w:rFonts w:cstheme="minorHAnsi"/>
                </w:rPr>
                <w:t>Commission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GAO</w:t>
            </w:r>
          </w:p>
        </w:tc>
        <w:tc>
          <w:tcPr>
            <w:tcW w:w="0" w:type="auto"/>
            <w:vAlign w:val="center"/>
            <w:hideMark/>
          </w:tcPr>
          <w:p w:rsidR="008F6ABB" w:rsidRPr="00436AD8" w:rsidRDefault="00CC73A1" w:rsidP="00EE1148">
            <w:pPr>
              <w:rPr>
                <w:rFonts w:cstheme="minorHAnsi"/>
              </w:rPr>
            </w:pPr>
            <w:hyperlink r:id="rId85" w:history="1">
              <w:r w:rsidR="008F6ABB" w:rsidRPr="00436AD8">
                <w:rPr>
                  <w:rStyle w:val="Hyperlink"/>
                  <w:rFonts w:cstheme="minorHAnsi"/>
                </w:rPr>
                <w:t>Government</w:t>
              </w:r>
              <w:r w:rsidR="00B8557A" w:rsidRPr="00436AD8">
                <w:rPr>
                  <w:rStyle w:val="Hyperlink"/>
                  <w:rFonts w:cstheme="minorHAnsi"/>
                </w:rPr>
                <w:t xml:space="preserve"> </w:t>
              </w:r>
              <w:r w:rsidR="008F6ABB" w:rsidRPr="00436AD8">
                <w:rPr>
                  <w:rStyle w:val="Hyperlink"/>
                  <w:rFonts w:cstheme="minorHAnsi"/>
                </w:rPr>
                <w:t>Accountability</w:t>
              </w:r>
              <w:r w:rsidR="00B8557A" w:rsidRPr="00436AD8">
                <w:rPr>
                  <w:rStyle w:val="Hyperlink"/>
                  <w:rFonts w:cstheme="minorHAnsi"/>
                </w:rPr>
                <w:t xml:space="preserve"> </w:t>
              </w:r>
              <w:r w:rsidR="008F6ABB" w:rsidRPr="00436AD8">
                <w:rPr>
                  <w:rStyle w:val="Hyperlink"/>
                  <w:rFonts w:cstheme="minorHAnsi"/>
                </w:rPr>
                <w:t>Office</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HARP</w:t>
            </w:r>
          </w:p>
        </w:tc>
        <w:tc>
          <w:tcPr>
            <w:tcW w:w="0" w:type="auto"/>
            <w:vAlign w:val="center"/>
          </w:tcPr>
          <w:p w:rsidR="008F6ABB" w:rsidRPr="00436AD8" w:rsidRDefault="00CC73A1" w:rsidP="00EE1148">
            <w:pPr>
              <w:rPr>
                <w:rFonts w:cstheme="minorHAnsi"/>
              </w:rPr>
            </w:pPr>
            <w:hyperlink r:id="rId86"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Affordable</w:t>
              </w:r>
              <w:r w:rsidR="00B8557A" w:rsidRPr="00436AD8">
                <w:rPr>
                  <w:rStyle w:val="Hyperlink"/>
                  <w:rFonts w:cstheme="minorHAnsi"/>
                </w:rPr>
                <w:t xml:space="preserve"> </w:t>
              </w:r>
              <w:r w:rsidR="008F6ABB" w:rsidRPr="00436AD8">
                <w:rPr>
                  <w:rStyle w:val="Hyperlink"/>
                  <w:rFonts w:cstheme="minorHAnsi"/>
                </w:rPr>
                <w:t>Refinance</w:t>
              </w:r>
              <w:r w:rsidR="00B8557A" w:rsidRPr="00436AD8">
                <w:rPr>
                  <w:rStyle w:val="Hyperlink"/>
                  <w:rFonts w:cstheme="minorHAnsi"/>
                </w:rPr>
                <w:t xml:space="preserve"> </w:t>
              </w:r>
              <w:r w:rsidR="008F6ABB" w:rsidRPr="00436AD8">
                <w:rPr>
                  <w:rStyle w:val="Hyperlink"/>
                  <w:rFonts w:cstheme="minorHAnsi"/>
                </w:rPr>
                <w:t>Program</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HAMP</w:t>
            </w:r>
          </w:p>
        </w:tc>
        <w:tc>
          <w:tcPr>
            <w:tcW w:w="0" w:type="auto"/>
            <w:vAlign w:val="center"/>
          </w:tcPr>
          <w:p w:rsidR="008F6ABB" w:rsidRPr="00436AD8" w:rsidRDefault="00CC73A1" w:rsidP="00EE1148">
            <w:pPr>
              <w:rPr>
                <w:rFonts w:cstheme="minorHAnsi"/>
              </w:rPr>
            </w:pPr>
            <w:hyperlink r:id="rId87"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Affordable</w:t>
              </w:r>
              <w:r w:rsidR="00B8557A" w:rsidRPr="00436AD8">
                <w:rPr>
                  <w:rStyle w:val="Hyperlink"/>
                  <w:rFonts w:cstheme="minorHAnsi"/>
                </w:rPr>
                <w:t xml:space="preserve"> </w:t>
              </w:r>
              <w:r w:rsidR="008F6ABB" w:rsidRPr="00436AD8">
                <w:rPr>
                  <w:rStyle w:val="Hyperlink"/>
                  <w:rFonts w:cstheme="minorHAnsi"/>
                </w:rPr>
                <w:t>Modification</w:t>
              </w:r>
              <w:r w:rsidR="00B8557A" w:rsidRPr="00436AD8">
                <w:rPr>
                  <w:rStyle w:val="Hyperlink"/>
                  <w:rFonts w:cstheme="minorHAnsi"/>
                </w:rPr>
                <w:t xml:space="preserve"> </w:t>
              </w:r>
              <w:r w:rsidR="008F6ABB" w:rsidRPr="00436AD8">
                <w:rPr>
                  <w:rStyle w:val="Hyperlink"/>
                  <w:rFonts w:cstheme="minorHAnsi"/>
                </w:rPr>
                <w:t>Program</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HMDA</w:t>
            </w:r>
          </w:p>
        </w:tc>
        <w:tc>
          <w:tcPr>
            <w:tcW w:w="0" w:type="auto"/>
            <w:vAlign w:val="center"/>
            <w:hideMark/>
          </w:tcPr>
          <w:p w:rsidR="008F6ABB" w:rsidRPr="00436AD8" w:rsidRDefault="00CC73A1" w:rsidP="00EE1148">
            <w:pPr>
              <w:rPr>
                <w:rFonts w:cstheme="minorHAnsi"/>
              </w:rPr>
            </w:pPr>
            <w:hyperlink r:id="rId88"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Disclosure</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HOEPA</w:t>
            </w:r>
          </w:p>
        </w:tc>
        <w:tc>
          <w:tcPr>
            <w:tcW w:w="0" w:type="auto"/>
            <w:vAlign w:val="center"/>
            <w:hideMark/>
          </w:tcPr>
          <w:p w:rsidR="008F6ABB" w:rsidRPr="00436AD8" w:rsidRDefault="00CC73A1" w:rsidP="00EE1148">
            <w:pPr>
              <w:rPr>
                <w:rFonts w:cstheme="minorHAnsi"/>
              </w:rPr>
            </w:pPr>
            <w:hyperlink r:id="rId89"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Ownership</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Equity</w:t>
              </w:r>
              <w:r w:rsidR="00B8557A" w:rsidRPr="00436AD8">
                <w:rPr>
                  <w:rStyle w:val="Hyperlink"/>
                  <w:rFonts w:cstheme="minorHAnsi"/>
                </w:rPr>
                <w:t xml:space="preserve"> </w:t>
              </w:r>
              <w:r w:rsidR="008F6ABB" w:rsidRPr="00436AD8">
                <w:rPr>
                  <w:rStyle w:val="Hyperlink"/>
                  <w:rFonts w:cstheme="minorHAnsi"/>
                </w:rPr>
                <w:t>Protections</w:t>
              </w:r>
              <w:r w:rsidR="00B8557A" w:rsidRPr="00436AD8">
                <w:rPr>
                  <w:rStyle w:val="Hyperlink"/>
                  <w:rFonts w:cstheme="minorHAnsi"/>
                </w:rPr>
                <w:t xml:space="preserve"> </w:t>
              </w:r>
              <w:r w:rsidR="008F6ABB" w:rsidRPr="00436AD8">
                <w:rPr>
                  <w:rStyle w:val="Hyperlink"/>
                  <w:rFonts w:cstheme="minorHAnsi"/>
                </w:rPr>
                <w:t>Act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1994</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HPML</w:t>
            </w:r>
          </w:p>
        </w:tc>
        <w:tc>
          <w:tcPr>
            <w:tcW w:w="0" w:type="auto"/>
            <w:vAlign w:val="center"/>
            <w:hideMark/>
          </w:tcPr>
          <w:p w:rsidR="008F6ABB" w:rsidRPr="00436AD8" w:rsidRDefault="00CC73A1" w:rsidP="00EE1148">
            <w:pPr>
              <w:rPr>
                <w:rFonts w:cstheme="minorHAnsi"/>
              </w:rPr>
            </w:pPr>
            <w:hyperlink r:id="rId90" w:history="1">
              <w:r w:rsidR="008F6ABB" w:rsidRPr="00436AD8">
                <w:rPr>
                  <w:rStyle w:val="Hyperlink"/>
                  <w:rFonts w:cstheme="minorHAnsi"/>
                </w:rPr>
                <w:t>Higher</w:t>
              </w:r>
              <w:r w:rsidR="00B8557A" w:rsidRPr="00436AD8">
                <w:rPr>
                  <w:rStyle w:val="Hyperlink"/>
                  <w:rFonts w:cstheme="minorHAnsi"/>
                </w:rPr>
                <w:t xml:space="preserve"> </w:t>
              </w:r>
              <w:r w:rsidR="008F6ABB" w:rsidRPr="00436AD8">
                <w:rPr>
                  <w:rStyle w:val="Hyperlink"/>
                  <w:rFonts w:cstheme="minorHAnsi"/>
                </w:rPr>
                <w:t>Priced</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Loan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HUD</w:t>
            </w:r>
          </w:p>
        </w:tc>
        <w:tc>
          <w:tcPr>
            <w:tcW w:w="0" w:type="auto"/>
            <w:vAlign w:val="center"/>
            <w:hideMark/>
          </w:tcPr>
          <w:p w:rsidR="008F6ABB" w:rsidRPr="00436AD8" w:rsidRDefault="00CC73A1" w:rsidP="00EE1148">
            <w:pPr>
              <w:rPr>
                <w:rFonts w:cstheme="minorHAnsi"/>
              </w:rPr>
            </w:pPr>
            <w:hyperlink r:id="rId91" w:history="1">
              <w:r w:rsidR="008F6ABB" w:rsidRPr="00436AD8">
                <w:rPr>
                  <w:rStyle w:val="Hyperlink"/>
                  <w:rFonts w:cstheme="minorHAnsi"/>
                </w:rPr>
                <w:t>U.S.</w:t>
              </w:r>
              <w:r w:rsidR="00B8557A" w:rsidRPr="00436AD8">
                <w:rPr>
                  <w:rStyle w:val="Hyperlink"/>
                  <w:rFonts w:cstheme="minorHAnsi"/>
                </w:rPr>
                <w:t xml:space="preserve"> </w:t>
              </w:r>
              <w:r w:rsidR="008F6ABB" w:rsidRPr="00436AD8">
                <w:rPr>
                  <w:rStyle w:val="Hyperlink"/>
                  <w:rFonts w:cstheme="minorHAnsi"/>
                </w:rPr>
                <w:t>Department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Urban</w:t>
              </w:r>
              <w:r w:rsidR="00B8557A" w:rsidRPr="00436AD8">
                <w:rPr>
                  <w:rStyle w:val="Hyperlink"/>
                  <w:rFonts w:cstheme="minorHAnsi"/>
                </w:rPr>
                <w:t xml:space="preserve"> </w:t>
              </w:r>
              <w:r w:rsidR="008F6ABB" w:rsidRPr="00436AD8">
                <w:rPr>
                  <w:rStyle w:val="Hyperlink"/>
                  <w:rFonts w:cstheme="minorHAnsi"/>
                </w:rPr>
                <w:t>Development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IRS</w:t>
            </w:r>
          </w:p>
        </w:tc>
        <w:tc>
          <w:tcPr>
            <w:tcW w:w="0" w:type="auto"/>
            <w:vAlign w:val="center"/>
            <w:hideMark/>
          </w:tcPr>
          <w:p w:rsidR="008F6ABB" w:rsidRPr="00436AD8" w:rsidRDefault="00CC73A1" w:rsidP="00EE1148">
            <w:pPr>
              <w:rPr>
                <w:rFonts w:cstheme="minorHAnsi"/>
              </w:rPr>
            </w:pPr>
            <w:hyperlink r:id="rId92" w:history="1">
              <w:r w:rsidR="008F6ABB" w:rsidRPr="00436AD8">
                <w:rPr>
                  <w:rStyle w:val="Hyperlink"/>
                  <w:rFonts w:cstheme="minorHAnsi"/>
                </w:rPr>
                <w:t>Internal</w:t>
              </w:r>
              <w:r w:rsidR="00B8557A" w:rsidRPr="00436AD8">
                <w:rPr>
                  <w:rStyle w:val="Hyperlink"/>
                  <w:rFonts w:cstheme="minorHAnsi"/>
                </w:rPr>
                <w:t xml:space="preserve"> </w:t>
              </w:r>
              <w:r w:rsidR="008F6ABB" w:rsidRPr="00436AD8">
                <w:rPr>
                  <w:rStyle w:val="Hyperlink"/>
                  <w:rFonts w:cstheme="minorHAnsi"/>
                </w:rPr>
                <w:t>Revenue</w:t>
              </w:r>
              <w:r w:rsidR="00B8557A" w:rsidRPr="00436AD8">
                <w:rPr>
                  <w:rStyle w:val="Hyperlink"/>
                  <w:rFonts w:cstheme="minorHAnsi"/>
                </w:rPr>
                <w:t xml:space="preserve"> </w:t>
              </w:r>
              <w:r w:rsidR="008F6ABB" w:rsidRPr="00436AD8">
                <w:rPr>
                  <w:rStyle w:val="Hyperlink"/>
                  <w:rFonts w:cstheme="minorHAnsi"/>
                </w:rPr>
                <w:t>Service</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MLO</w:t>
            </w:r>
          </w:p>
        </w:tc>
        <w:tc>
          <w:tcPr>
            <w:tcW w:w="0" w:type="auto"/>
            <w:vAlign w:val="center"/>
            <w:hideMark/>
          </w:tcPr>
          <w:p w:rsidR="008F6ABB" w:rsidRPr="00436AD8" w:rsidRDefault="008F6ABB" w:rsidP="00EE1148">
            <w:pPr>
              <w:rPr>
                <w:rFonts w:cstheme="minorHAnsi"/>
              </w:rPr>
            </w:pPr>
            <w:r w:rsidRPr="00436AD8">
              <w:rPr>
                <w:rFonts w:cstheme="minorHAnsi"/>
              </w:rPr>
              <w:t>Mortgage</w:t>
            </w:r>
            <w:r w:rsidR="00B8557A" w:rsidRPr="00436AD8">
              <w:rPr>
                <w:rFonts w:cstheme="minorHAnsi"/>
              </w:rPr>
              <w:t xml:space="preserve"> </w:t>
            </w:r>
            <w:r w:rsidRPr="00436AD8">
              <w:rPr>
                <w:rFonts w:cstheme="minorHAnsi"/>
              </w:rPr>
              <w:t>Loan</w:t>
            </w:r>
            <w:r w:rsidR="00B8557A" w:rsidRPr="00436AD8">
              <w:rPr>
                <w:rFonts w:cstheme="minorHAnsi"/>
              </w:rPr>
              <w:t xml:space="preserve"> </w:t>
            </w:r>
            <w:r w:rsidRPr="00436AD8">
              <w:rPr>
                <w:rFonts w:cstheme="minorHAnsi"/>
              </w:rPr>
              <w:t>Originator</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MOU</w:t>
            </w:r>
          </w:p>
        </w:tc>
        <w:tc>
          <w:tcPr>
            <w:tcW w:w="0" w:type="auto"/>
            <w:vAlign w:val="center"/>
            <w:hideMark/>
          </w:tcPr>
          <w:p w:rsidR="008F6ABB" w:rsidRPr="00436AD8" w:rsidRDefault="008F6ABB" w:rsidP="00EE1148">
            <w:pPr>
              <w:rPr>
                <w:rFonts w:cstheme="minorHAnsi"/>
              </w:rPr>
            </w:pPr>
            <w:r w:rsidRPr="00436AD8">
              <w:rPr>
                <w:rFonts w:cstheme="minorHAnsi"/>
              </w:rPr>
              <w:t>Memorandum</w:t>
            </w:r>
            <w:r w:rsidR="00B8557A" w:rsidRPr="00436AD8">
              <w:rPr>
                <w:rFonts w:cstheme="minorHAnsi"/>
              </w:rPr>
              <w:t xml:space="preserve"> </w:t>
            </w:r>
            <w:r w:rsidRPr="00436AD8">
              <w:rPr>
                <w:rFonts w:cstheme="minorHAnsi"/>
              </w:rPr>
              <w:t>of</w:t>
            </w:r>
            <w:r w:rsidR="00B8557A" w:rsidRPr="00436AD8">
              <w:rPr>
                <w:rFonts w:cstheme="minorHAnsi"/>
              </w:rPr>
              <w:t xml:space="preserve"> </w:t>
            </w:r>
            <w:r w:rsidRPr="00436AD8">
              <w:rPr>
                <w:rFonts w:cstheme="minorHAnsi"/>
              </w:rPr>
              <w:t>Understanding</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NFIP</w:t>
            </w:r>
          </w:p>
        </w:tc>
        <w:tc>
          <w:tcPr>
            <w:tcW w:w="0" w:type="auto"/>
            <w:vAlign w:val="center"/>
            <w:hideMark/>
          </w:tcPr>
          <w:p w:rsidR="008F6ABB" w:rsidRPr="00436AD8" w:rsidRDefault="00CC73A1" w:rsidP="00EE1148">
            <w:pPr>
              <w:rPr>
                <w:rFonts w:cstheme="minorHAnsi"/>
              </w:rPr>
            </w:pPr>
            <w:hyperlink r:id="rId93" w:history="1">
              <w:r w:rsidR="008F6ABB" w:rsidRPr="00436AD8">
                <w:rPr>
                  <w:rStyle w:val="Hyperlink"/>
                  <w:rFonts w:cstheme="minorHAnsi"/>
                </w:rPr>
                <w:t>National</w:t>
              </w:r>
              <w:r w:rsidR="00B8557A" w:rsidRPr="00436AD8">
                <w:rPr>
                  <w:rStyle w:val="Hyperlink"/>
                  <w:rFonts w:cstheme="minorHAnsi"/>
                </w:rPr>
                <w:t xml:space="preserve"> </w:t>
              </w:r>
              <w:r w:rsidR="008F6ABB" w:rsidRPr="00436AD8">
                <w:rPr>
                  <w:rStyle w:val="Hyperlink"/>
                  <w:rFonts w:cstheme="minorHAnsi"/>
                </w:rPr>
                <w:t>Flood</w:t>
              </w:r>
              <w:r w:rsidR="00B8557A" w:rsidRPr="00436AD8">
                <w:rPr>
                  <w:rStyle w:val="Hyperlink"/>
                  <w:rFonts w:cstheme="minorHAnsi"/>
                </w:rPr>
                <w:t xml:space="preserve"> </w:t>
              </w:r>
              <w:r w:rsidR="008F6ABB" w:rsidRPr="00436AD8">
                <w:rPr>
                  <w:rStyle w:val="Hyperlink"/>
                  <w:rFonts w:cstheme="minorHAnsi"/>
                </w:rPr>
                <w:t>Insurance</w:t>
              </w:r>
              <w:r w:rsidR="00B8557A" w:rsidRPr="00436AD8">
                <w:rPr>
                  <w:rStyle w:val="Hyperlink"/>
                  <w:rFonts w:cstheme="minorHAnsi"/>
                </w:rPr>
                <w:t xml:space="preserve"> </w:t>
              </w:r>
              <w:r w:rsidR="008F6ABB" w:rsidRPr="00436AD8">
                <w:rPr>
                  <w:rStyle w:val="Hyperlink"/>
                  <w:rFonts w:cstheme="minorHAnsi"/>
                </w:rPr>
                <w:t>Program</w:t>
              </w:r>
            </w:hyperlink>
            <w:r w:rsidR="008F6ABB" w:rsidRPr="00436AD8">
              <w:rPr>
                <w:rFonts w:cstheme="minorHAnsi"/>
              </w:rPr>
              <w:t>.</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program</w:t>
            </w:r>
            <w:r w:rsidR="00B8557A" w:rsidRPr="00436AD8">
              <w:rPr>
                <w:rFonts w:cstheme="minorHAnsi"/>
              </w:rPr>
              <w:t xml:space="preserve"> </w:t>
            </w:r>
            <w:r w:rsidR="008F6ABB" w:rsidRPr="00436AD8">
              <w:rPr>
                <w:rFonts w:cstheme="minorHAnsi"/>
              </w:rPr>
              <w:t>to</w:t>
            </w:r>
            <w:r w:rsidR="00B8557A" w:rsidRPr="00436AD8">
              <w:rPr>
                <w:rFonts w:cstheme="minorHAnsi"/>
              </w:rPr>
              <w:t xml:space="preserve"> </w:t>
            </w:r>
            <w:r w:rsidR="008F6ABB" w:rsidRPr="00436AD8">
              <w:rPr>
                <w:rFonts w:cstheme="minorHAnsi"/>
              </w:rPr>
              <w:t>allow</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purchase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flood</w:t>
            </w:r>
            <w:r w:rsidR="00B8557A" w:rsidRPr="00436AD8">
              <w:rPr>
                <w:rFonts w:cstheme="minorHAnsi"/>
              </w:rPr>
              <w:t xml:space="preserve"> </w:t>
            </w:r>
            <w:r w:rsidR="008F6ABB" w:rsidRPr="00436AD8">
              <w:rPr>
                <w:rFonts w:cstheme="minorHAnsi"/>
              </w:rPr>
              <w:t>insurance</w:t>
            </w:r>
            <w:r w:rsidR="00B8557A" w:rsidRPr="00436AD8">
              <w:rPr>
                <w:rFonts w:cstheme="minorHAnsi"/>
              </w:rPr>
              <w:t xml:space="preserve"> </w:t>
            </w:r>
            <w:r w:rsidR="008F6ABB" w:rsidRPr="00436AD8">
              <w:rPr>
                <w:rFonts w:cstheme="minorHAnsi"/>
              </w:rPr>
              <w:t>from</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government.</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NMLS</w:t>
            </w:r>
          </w:p>
        </w:tc>
        <w:tc>
          <w:tcPr>
            <w:tcW w:w="0" w:type="auto"/>
            <w:vAlign w:val="center"/>
            <w:hideMark/>
          </w:tcPr>
          <w:p w:rsidR="008F6ABB" w:rsidRPr="00436AD8" w:rsidRDefault="00CC73A1" w:rsidP="00EE1148">
            <w:pPr>
              <w:rPr>
                <w:rFonts w:cstheme="minorHAnsi"/>
              </w:rPr>
            </w:pPr>
            <w:hyperlink r:id="rId94" w:history="1">
              <w:r w:rsidR="008F6ABB" w:rsidRPr="00436AD8">
                <w:rPr>
                  <w:rStyle w:val="Hyperlink"/>
                  <w:rFonts w:cstheme="minorHAnsi"/>
                </w:rPr>
                <w:t>National</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Licensing</w:t>
              </w:r>
              <w:r w:rsidR="00B8557A" w:rsidRPr="00436AD8">
                <w:rPr>
                  <w:rStyle w:val="Hyperlink"/>
                  <w:rFonts w:cstheme="minorHAnsi"/>
                </w:rPr>
                <w:t xml:space="preserve"> </w:t>
              </w:r>
              <w:r w:rsidR="008F6ABB" w:rsidRPr="00436AD8">
                <w:rPr>
                  <w:rStyle w:val="Hyperlink"/>
                  <w:rFonts w:cstheme="minorHAnsi"/>
                </w:rPr>
                <w:t>System</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OCC</w:t>
            </w:r>
            <w:r w:rsidR="00B8557A" w:rsidRPr="00436AD8">
              <w:rPr>
                <w:rFonts w:cstheme="minorHAnsi"/>
              </w:rPr>
              <w:t xml:space="preserve"> </w:t>
            </w:r>
          </w:p>
        </w:tc>
        <w:tc>
          <w:tcPr>
            <w:tcW w:w="0" w:type="auto"/>
            <w:vAlign w:val="center"/>
            <w:hideMark/>
          </w:tcPr>
          <w:p w:rsidR="008F6ABB" w:rsidRPr="00436AD8" w:rsidRDefault="00CC73A1" w:rsidP="00EE1148">
            <w:pPr>
              <w:rPr>
                <w:rFonts w:cstheme="minorHAnsi"/>
              </w:rPr>
            </w:pPr>
            <w:hyperlink r:id="rId95" w:history="1">
              <w:r w:rsidR="008F6ABB" w:rsidRPr="00436AD8">
                <w:rPr>
                  <w:rStyle w:val="Hyperlink"/>
                  <w:rFonts w:cstheme="minorHAnsi"/>
                </w:rPr>
                <w:t>Office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Comptroller</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Currency</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OFAC</w:t>
            </w:r>
          </w:p>
        </w:tc>
        <w:tc>
          <w:tcPr>
            <w:tcW w:w="0" w:type="auto"/>
            <w:vAlign w:val="center"/>
          </w:tcPr>
          <w:p w:rsidR="008F6ABB" w:rsidRPr="00436AD8" w:rsidRDefault="00CC73A1" w:rsidP="00EE1148">
            <w:pPr>
              <w:rPr>
                <w:rFonts w:cstheme="minorHAnsi"/>
              </w:rPr>
            </w:pPr>
            <w:hyperlink r:id="rId96" w:history="1">
              <w:r w:rsidR="008F6ABB" w:rsidRPr="00436AD8">
                <w:rPr>
                  <w:rStyle w:val="Hyperlink"/>
                  <w:rFonts w:cstheme="minorHAnsi"/>
                </w:rPr>
                <w:t>Office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Foreign</w:t>
              </w:r>
              <w:r w:rsidR="00B8557A" w:rsidRPr="00436AD8">
                <w:rPr>
                  <w:rStyle w:val="Hyperlink"/>
                  <w:rFonts w:cstheme="minorHAnsi"/>
                </w:rPr>
                <w:t xml:space="preserve"> </w:t>
              </w:r>
              <w:r w:rsidR="008F6ABB" w:rsidRPr="00436AD8">
                <w:rPr>
                  <w:rStyle w:val="Hyperlink"/>
                  <w:rFonts w:cstheme="minorHAnsi"/>
                </w:rPr>
                <w:t>Asset</w:t>
              </w:r>
              <w:r w:rsidR="00B8557A" w:rsidRPr="00436AD8">
                <w:rPr>
                  <w:rStyle w:val="Hyperlink"/>
                  <w:rFonts w:cstheme="minorHAnsi"/>
                </w:rPr>
                <w:t xml:space="preserve"> </w:t>
              </w:r>
              <w:r w:rsidR="008F6ABB" w:rsidRPr="00436AD8">
                <w:rPr>
                  <w:rStyle w:val="Hyperlink"/>
                  <w:rFonts w:cstheme="minorHAnsi"/>
                </w:rPr>
                <w:t>Control</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OREO</w:t>
            </w:r>
          </w:p>
        </w:tc>
        <w:tc>
          <w:tcPr>
            <w:tcW w:w="0" w:type="auto"/>
            <w:vAlign w:val="center"/>
          </w:tcPr>
          <w:p w:rsidR="008F6ABB" w:rsidRPr="00436AD8" w:rsidRDefault="00CC73A1" w:rsidP="00EE1148">
            <w:pPr>
              <w:rPr>
                <w:rFonts w:cstheme="minorHAnsi"/>
              </w:rPr>
            </w:pPr>
            <w:hyperlink r:id="rId97" w:history="1">
              <w:r w:rsidR="008F6ABB" w:rsidRPr="00436AD8">
                <w:rPr>
                  <w:rStyle w:val="Hyperlink"/>
                  <w:rFonts w:cstheme="minorHAnsi"/>
                </w:rPr>
                <w:t>Other</w:t>
              </w:r>
              <w:r w:rsidR="00B8557A" w:rsidRPr="00436AD8">
                <w:rPr>
                  <w:rStyle w:val="Hyperlink"/>
                  <w:rFonts w:cstheme="minorHAnsi"/>
                </w:rPr>
                <w:t xml:space="preserve"> </w:t>
              </w:r>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Owned</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QRM</w:t>
            </w:r>
          </w:p>
        </w:tc>
        <w:tc>
          <w:tcPr>
            <w:tcW w:w="0" w:type="auto"/>
            <w:vAlign w:val="center"/>
          </w:tcPr>
          <w:p w:rsidR="008F6ABB" w:rsidRPr="00436AD8" w:rsidRDefault="008F6ABB" w:rsidP="00EE1148">
            <w:pPr>
              <w:rPr>
                <w:rFonts w:cstheme="minorHAnsi"/>
              </w:rPr>
            </w:pPr>
            <w:r w:rsidRPr="00436AD8">
              <w:rPr>
                <w:rFonts w:cstheme="minorHAnsi"/>
              </w:rPr>
              <w:t>Qualified</w:t>
            </w:r>
            <w:r w:rsidR="00B8557A" w:rsidRPr="00436AD8">
              <w:rPr>
                <w:rFonts w:cstheme="minorHAnsi"/>
              </w:rPr>
              <w:t xml:space="preserve"> </w:t>
            </w:r>
            <w:r w:rsidRPr="00436AD8">
              <w:rPr>
                <w:rFonts w:cstheme="minorHAnsi"/>
              </w:rPr>
              <w:t>Residential</w:t>
            </w:r>
            <w:r w:rsidR="00B8557A" w:rsidRPr="00436AD8">
              <w:rPr>
                <w:rFonts w:cstheme="minorHAnsi"/>
              </w:rPr>
              <w:t xml:space="preserve"> </w:t>
            </w:r>
            <w:r w:rsidRPr="00436AD8">
              <w:rPr>
                <w:rFonts w:cstheme="minorHAnsi"/>
              </w:rPr>
              <w:t>Mortgage</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B</w:t>
            </w:r>
          </w:p>
        </w:tc>
        <w:tc>
          <w:tcPr>
            <w:tcW w:w="0" w:type="auto"/>
            <w:vAlign w:val="center"/>
          </w:tcPr>
          <w:p w:rsidR="008F6ABB" w:rsidRPr="00436AD8" w:rsidRDefault="00CC73A1" w:rsidP="00EE1148">
            <w:pPr>
              <w:rPr>
                <w:rFonts w:cstheme="minorHAnsi"/>
              </w:rPr>
            </w:pPr>
            <w:hyperlink r:id="rId98" w:history="1">
              <w:r w:rsidR="008F6ABB" w:rsidRPr="00436AD8">
                <w:rPr>
                  <w:rStyle w:val="Hyperlink"/>
                  <w:rFonts w:cstheme="minorHAnsi"/>
                </w:rPr>
                <w:t>Equal</w:t>
              </w:r>
              <w:r w:rsidR="00B8557A" w:rsidRPr="00436AD8">
                <w:rPr>
                  <w:rStyle w:val="Hyperlink"/>
                  <w:rFonts w:cstheme="minorHAnsi"/>
                </w:rPr>
                <w:t xml:space="preserve"> </w:t>
              </w:r>
              <w:r w:rsidR="008F6ABB" w:rsidRPr="00436AD8">
                <w:rPr>
                  <w:rStyle w:val="Hyperlink"/>
                  <w:rFonts w:cstheme="minorHAnsi"/>
                </w:rPr>
                <w:t>Credit</w:t>
              </w:r>
              <w:r w:rsidR="00B8557A" w:rsidRPr="00436AD8">
                <w:rPr>
                  <w:rStyle w:val="Hyperlink"/>
                  <w:rFonts w:cstheme="minorHAnsi"/>
                </w:rPr>
                <w:t xml:space="preserve"> </w:t>
              </w:r>
              <w:r w:rsidR="008F6ABB" w:rsidRPr="00436AD8">
                <w:rPr>
                  <w:rStyle w:val="Hyperlink"/>
                  <w:rFonts w:cstheme="minorHAnsi"/>
                </w:rPr>
                <w:t>Opportunity</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C</w:t>
            </w:r>
          </w:p>
        </w:tc>
        <w:tc>
          <w:tcPr>
            <w:tcW w:w="0" w:type="auto"/>
            <w:vAlign w:val="center"/>
          </w:tcPr>
          <w:p w:rsidR="008F6ABB" w:rsidRPr="00436AD8" w:rsidRDefault="00CC73A1" w:rsidP="00EE1148">
            <w:pPr>
              <w:rPr>
                <w:rFonts w:cstheme="minorHAnsi"/>
              </w:rPr>
            </w:pPr>
            <w:hyperlink r:id="rId99"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Disclosure</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DD</w:t>
            </w:r>
          </w:p>
        </w:tc>
        <w:tc>
          <w:tcPr>
            <w:tcW w:w="0" w:type="auto"/>
            <w:vAlign w:val="center"/>
          </w:tcPr>
          <w:p w:rsidR="008F6ABB" w:rsidRPr="00436AD8" w:rsidRDefault="00CC73A1" w:rsidP="00EE1148">
            <w:pPr>
              <w:rPr>
                <w:rFonts w:cstheme="minorHAnsi"/>
              </w:rPr>
            </w:pPr>
            <w:hyperlink r:id="rId100"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Savings</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E</w:t>
            </w:r>
          </w:p>
        </w:tc>
        <w:tc>
          <w:tcPr>
            <w:tcW w:w="0" w:type="auto"/>
            <w:vAlign w:val="center"/>
          </w:tcPr>
          <w:p w:rsidR="008F6ABB" w:rsidRPr="00436AD8" w:rsidRDefault="00CC73A1" w:rsidP="00EE1148">
            <w:pPr>
              <w:rPr>
                <w:rFonts w:cstheme="minorHAnsi"/>
              </w:rPr>
            </w:pPr>
            <w:hyperlink r:id="rId101" w:history="1">
              <w:r w:rsidR="008F6ABB" w:rsidRPr="00436AD8">
                <w:rPr>
                  <w:rStyle w:val="Hyperlink"/>
                  <w:rFonts w:cstheme="minorHAnsi"/>
                </w:rPr>
                <w:t>Electronic</w:t>
              </w:r>
              <w:r w:rsidR="00B8557A" w:rsidRPr="00436AD8">
                <w:rPr>
                  <w:rStyle w:val="Hyperlink"/>
                  <w:rFonts w:cstheme="minorHAnsi"/>
                </w:rPr>
                <w:t xml:space="preserve"> </w:t>
              </w:r>
              <w:r w:rsidR="008F6ABB" w:rsidRPr="00436AD8">
                <w:rPr>
                  <w:rStyle w:val="Hyperlink"/>
                  <w:rFonts w:cstheme="minorHAnsi"/>
                </w:rPr>
                <w:t>Fund</w:t>
              </w:r>
              <w:r w:rsidR="00B8557A" w:rsidRPr="00436AD8">
                <w:rPr>
                  <w:rStyle w:val="Hyperlink"/>
                  <w:rFonts w:cstheme="minorHAnsi"/>
                </w:rPr>
                <w:t xml:space="preserve"> </w:t>
              </w:r>
              <w:r w:rsidR="008F6ABB" w:rsidRPr="00436AD8">
                <w:rPr>
                  <w:rStyle w:val="Hyperlink"/>
                  <w:rFonts w:cstheme="minorHAnsi"/>
                </w:rPr>
                <w:t>Transfers</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G</w:t>
            </w:r>
          </w:p>
        </w:tc>
        <w:tc>
          <w:tcPr>
            <w:tcW w:w="0" w:type="auto"/>
            <w:vAlign w:val="center"/>
          </w:tcPr>
          <w:p w:rsidR="008F6ABB" w:rsidRPr="00436AD8" w:rsidRDefault="00CC73A1" w:rsidP="00EE1148">
            <w:pPr>
              <w:rPr>
                <w:rFonts w:cstheme="minorHAnsi"/>
              </w:rPr>
            </w:pPr>
            <w:hyperlink r:id="rId102" w:history="1">
              <w:r w:rsidR="008F6ABB" w:rsidRPr="00436AD8">
                <w:rPr>
                  <w:rStyle w:val="Hyperlink"/>
                  <w:rFonts w:cstheme="minorHAnsi"/>
                </w:rPr>
                <w:t>S.A.F.E.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Licensing</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P</w:t>
            </w:r>
          </w:p>
        </w:tc>
        <w:tc>
          <w:tcPr>
            <w:tcW w:w="0" w:type="auto"/>
            <w:vAlign w:val="center"/>
          </w:tcPr>
          <w:p w:rsidR="008F6ABB" w:rsidRPr="00436AD8" w:rsidRDefault="00CC73A1" w:rsidP="00EE1148">
            <w:pPr>
              <w:rPr>
                <w:rFonts w:cstheme="minorHAnsi"/>
              </w:rPr>
            </w:pPr>
            <w:hyperlink r:id="rId103" w:history="1">
              <w:r w:rsidR="008F6ABB" w:rsidRPr="00436AD8">
                <w:rPr>
                  <w:rStyle w:val="Hyperlink"/>
                  <w:rFonts w:cstheme="minorHAnsi"/>
                </w:rPr>
                <w:t>Privacy</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Information</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X</w:t>
            </w:r>
          </w:p>
        </w:tc>
        <w:tc>
          <w:tcPr>
            <w:tcW w:w="0" w:type="auto"/>
            <w:vAlign w:val="center"/>
          </w:tcPr>
          <w:p w:rsidR="008F6ABB" w:rsidRPr="00436AD8" w:rsidRDefault="00CC73A1" w:rsidP="00EE1148">
            <w:pPr>
              <w:rPr>
                <w:rFonts w:cstheme="minorHAnsi"/>
              </w:rPr>
            </w:pPr>
            <w:hyperlink r:id="rId104" w:history="1">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Settlement</w:t>
              </w:r>
              <w:r w:rsidR="00B8557A" w:rsidRPr="00436AD8">
                <w:rPr>
                  <w:rStyle w:val="Hyperlink"/>
                  <w:rFonts w:cstheme="minorHAnsi"/>
                </w:rPr>
                <w:t xml:space="preserve"> </w:t>
              </w:r>
              <w:r w:rsidR="008F6ABB" w:rsidRPr="00436AD8">
                <w:rPr>
                  <w:rStyle w:val="Hyperlink"/>
                  <w:rFonts w:cstheme="minorHAnsi"/>
                </w:rPr>
                <w:t>Procedures</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Z</w:t>
            </w:r>
          </w:p>
        </w:tc>
        <w:tc>
          <w:tcPr>
            <w:tcW w:w="0" w:type="auto"/>
            <w:vAlign w:val="center"/>
          </w:tcPr>
          <w:p w:rsidR="008F6ABB" w:rsidRPr="00436AD8" w:rsidRDefault="00CC73A1" w:rsidP="00EE1148">
            <w:pPr>
              <w:rPr>
                <w:rFonts w:cstheme="minorHAnsi"/>
              </w:rPr>
            </w:pPr>
            <w:hyperlink r:id="rId105"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Lending</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lastRenderedPageBreak/>
              <w:t>RESPA</w:t>
            </w:r>
          </w:p>
        </w:tc>
        <w:tc>
          <w:tcPr>
            <w:tcW w:w="0" w:type="auto"/>
            <w:vAlign w:val="center"/>
          </w:tcPr>
          <w:p w:rsidR="008F6ABB" w:rsidRPr="00436AD8" w:rsidRDefault="00CC73A1" w:rsidP="00EE1148">
            <w:pPr>
              <w:rPr>
                <w:rFonts w:cstheme="minorHAnsi"/>
              </w:rPr>
            </w:pPr>
            <w:hyperlink r:id="rId106" w:history="1">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Settlement</w:t>
              </w:r>
              <w:r w:rsidR="00B8557A" w:rsidRPr="00436AD8">
                <w:rPr>
                  <w:rStyle w:val="Hyperlink"/>
                  <w:rFonts w:cstheme="minorHAnsi"/>
                </w:rPr>
                <w:t xml:space="preserve"> </w:t>
              </w:r>
              <w:r w:rsidR="008F6ABB" w:rsidRPr="00436AD8">
                <w:rPr>
                  <w:rStyle w:val="Hyperlink"/>
                  <w:rFonts w:cstheme="minorHAnsi"/>
                </w:rPr>
                <w:t>Procedures</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SAR</w:t>
            </w:r>
          </w:p>
        </w:tc>
        <w:tc>
          <w:tcPr>
            <w:tcW w:w="0" w:type="auto"/>
            <w:vAlign w:val="center"/>
          </w:tcPr>
          <w:p w:rsidR="008F6ABB" w:rsidRPr="00436AD8" w:rsidRDefault="00CC73A1" w:rsidP="00EE1148">
            <w:pPr>
              <w:rPr>
                <w:rFonts w:cstheme="minorHAnsi"/>
              </w:rPr>
            </w:pPr>
            <w:hyperlink r:id="rId107" w:history="1">
              <w:r w:rsidR="008F6ABB" w:rsidRPr="00436AD8">
                <w:rPr>
                  <w:rStyle w:val="Hyperlink"/>
                  <w:rFonts w:cstheme="minorHAnsi"/>
                </w:rPr>
                <w:t>Suspicious</w:t>
              </w:r>
              <w:r w:rsidR="00B8557A" w:rsidRPr="00436AD8">
                <w:rPr>
                  <w:rStyle w:val="Hyperlink"/>
                  <w:rFonts w:cstheme="minorHAnsi"/>
                </w:rPr>
                <w:t xml:space="preserve"> </w:t>
              </w:r>
              <w:r w:rsidR="008F6ABB" w:rsidRPr="00436AD8">
                <w:rPr>
                  <w:rStyle w:val="Hyperlink"/>
                  <w:rFonts w:cstheme="minorHAnsi"/>
                </w:rPr>
                <w:t>Activity</w:t>
              </w:r>
              <w:r w:rsidR="00B8557A" w:rsidRPr="00436AD8">
                <w:rPr>
                  <w:rStyle w:val="Hyperlink"/>
                  <w:rFonts w:cstheme="minorHAnsi"/>
                </w:rPr>
                <w:t xml:space="preserve"> </w:t>
              </w:r>
              <w:r w:rsidR="008F6ABB" w:rsidRPr="00436AD8">
                <w:rPr>
                  <w:rStyle w:val="Hyperlink"/>
                  <w:rFonts w:cstheme="minorHAnsi"/>
                </w:rPr>
                <w:t>Report</w:t>
              </w:r>
            </w:hyperlink>
            <w:r w:rsidR="00B8557A" w:rsidRPr="00436AD8">
              <w:rPr>
                <w:rFonts w:cstheme="minorHAnsi"/>
              </w:rPr>
              <w:t xml:space="preserve"> </w:t>
            </w:r>
            <w:r w:rsidR="008F6ABB" w:rsidRPr="00436AD8">
              <w:rPr>
                <w:rFonts w:cstheme="minorHAnsi"/>
              </w:rPr>
              <w:t>–</w:t>
            </w:r>
            <w:r w:rsidR="00B8557A" w:rsidRPr="00436AD8">
              <w:rPr>
                <w:rFonts w:cstheme="minorHAnsi"/>
              </w:rPr>
              <w:t xml:space="preserve"> </w:t>
            </w:r>
            <w:r w:rsidR="008F6ABB" w:rsidRPr="00436AD8">
              <w:rPr>
                <w:rFonts w:cstheme="minorHAnsi"/>
              </w:rPr>
              <w:t>Report</w:t>
            </w:r>
            <w:r w:rsidR="00B8557A" w:rsidRPr="00436AD8">
              <w:rPr>
                <w:rFonts w:cstheme="minorHAnsi"/>
              </w:rPr>
              <w:t xml:space="preserve"> </w:t>
            </w:r>
            <w:r w:rsidR="008F6ABB" w:rsidRPr="00436AD8">
              <w:rPr>
                <w:rFonts w:cstheme="minorHAnsi"/>
              </w:rPr>
              <w:t>financial</w:t>
            </w:r>
            <w:r w:rsidR="00B8557A" w:rsidRPr="00436AD8">
              <w:rPr>
                <w:rFonts w:cstheme="minorHAnsi"/>
              </w:rPr>
              <w:t xml:space="preserve"> </w:t>
            </w:r>
            <w:r w:rsidR="008F6ABB" w:rsidRPr="00436AD8">
              <w:rPr>
                <w:rFonts w:cstheme="minorHAnsi"/>
              </w:rPr>
              <w:t>institutions</w:t>
            </w:r>
            <w:r w:rsidR="00B8557A" w:rsidRPr="00436AD8">
              <w:rPr>
                <w:rFonts w:cstheme="minorHAnsi"/>
              </w:rPr>
              <w:t xml:space="preserve"> </w:t>
            </w:r>
            <w:r w:rsidR="008F6ABB" w:rsidRPr="00436AD8">
              <w:rPr>
                <w:rFonts w:cstheme="minorHAnsi"/>
              </w:rPr>
              <w:t>file</w:t>
            </w:r>
            <w:r w:rsidR="00B8557A" w:rsidRPr="00436AD8">
              <w:rPr>
                <w:rFonts w:cstheme="minorHAnsi"/>
              </w:rPr>
              <w:t xml:space="preserve"> </w:t>
            </w:r>
            <w:r w:rsidR="008F6ABB" w:rsidRPr="00436AD8">
              <w:rPr>
                <w:rFonts w:cstheme="minorHAnsi"/>
              </w:rPr>
              <w:t>with</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(FinCEN)</w:t>
            </w:r>
            <w:r w:rsidR="00B8557A" w:rsidRPr="00436AD8">
              <w:rPr>
                <w:rFonts w:cstheme="minorHAnsi"/>
              </w:rPr>
              <w:t xml:space="preserve"> </w:t>
            </w:r>
            <w:r w:rsidR="008F6ABB" w:rsidRPr="00436AD8">
              <w:rPr>
                <w:rFonts w:cstheme="minorHAnsi"/>
              </w:rPr>
              <w:t>regarding</w:t>
            </w:r>
            <w:r w:rsidR="00B8557A" w:rsidRPr="00436AD8">
              <w:rPr>
                <w:rFonts w:cstheme="minorHAnsi"/>
              </w:rPr>
              <w:t xml:space="preserve"> </w:t>
            </w:r>
            <w:r w:rsidR="008F6ABB" w:rsidRPr="00436AD8">
              <w:rPr>
                <w:rFonts w:cstheme="minorHAnsi"/>
              </w:rPr>
              <w:t>activity</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may</w:t>
            </w:r>
            <w:r w:rsidR="00B8557A" w:rsidRPr="00436AD8">
              <w:rPr>
                <w:rFonts w:cstheme="minorHAnsi"/>
              </w:rPr>
              <w:t xml:space="preserve"> </w:t>
            </w:r>
            <w:r w:rsidR="008F6ABB" w:rsidRPr="00436AD8">
              <w:rPr>
                <w:rFonts w:cstheme="minorHAnsi"/>
              </w:rPr>
              <w:t>be</w:t>
            </w:r>
            <w:r w:rsidR="00B8557A" w:rsidRPr="00436AD8">
              <w:rPr>
                <w:rFonts w:cstheme="minorHAnsi"/>
              </w:rPr>
              <w:t xml:space="preserve"> </w:t>
            </w:r>
            <w:r w:rsidR="008F6ABB" w:rsidRPr="00436AD8">
              <w:rPr>
                <w:rFonts w:cstheme="minorHAnsi"/>
              </w:rPr>
              <w:t>criminal</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nature.</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SDN</w:t>
            </w:r>
          </w:p>
        </w:tc>
        <w:tc>
          <w:tcPr>
            <w:tcW w:w="0" w:type="auto"/>
            <w:vAlign w:val="center"/>
          </w:tcPr>
          <w:p w:rsidR="008F6ABB" w:rsidRPr="00436AD8" w:rsidRDefault="008F6ABB" w:rsidP="00EE1148">
            <w:pPr>
              <w:rPr>
                <w:rFonts w:cstheme="minorHAnsi"/>
              </w:rPr>
            </w:pPr>
            <w:r w:rsidRPr="00436AD8">
              <w:rPr>
                <w:rFonts w:cstheme="minorHAnsi"/>
              </w:rPr>
              <w:t>Specially</w:t>
            </w:r>
            <w:r w:rsidR="00B8557A" w:rsidRPr="00436AD8">
              <w:rPr>
                <w:rFonts w:cstheme="minorHAnsi"/>
              </w:rPr>
              <w:t xml:space="preserve"> </w:t>
            </w:r>
            <w:r w:rsidRPr="00436AD8">
              <w:rPr>
                <w:rFonts w:cstheme="minorHAnsi"/>
              </w:rPr>
              <w:t>Designated</w:t>
            </w:r>
            <w:r w:rsidR="00B8557A" w:rsidRPr="00436AD8">
              <w:rPr>
                <w:rFonts w:cstheme="minorHAnsi"/>
              </w:rPr>
              <w:t xml:space="preserve"> </w:t>
            </w:r>
            <w:r w:rsidRPr="00436AD8">
              <w:rPr>
                <w:rFonts w:cstheme="minorHAnsi"/>
              </w:rPr>
              <w:t>National</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TILA</w:t>
            </w:r>
          </w:p>
        </w:tc>
        <w:tc>
          <w:tcPr>
            <w:tcW w:w="0" w:type="auto"/>
            <w:vAlign w:val="center"/>
          </w:tcPr>
          <w:p w:rsidR="008F6ABB" w:rsidRPr="00436AD8" w:rsidRDefault="00CC73A1" w:rsidP="00EE1148">
            <w:pPr>
              <w:rPr>
                <w:rFonts w:cstheme="minorHAnsi"/>
              </w:rPr>
            </w:pPr>
            <w:hyperlink r:id="rId108"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Lending</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TIN</w:t>
            </w:r>
          </w:p>
        </w:tc>
        <w:tc>
          <w:tcPr>
            <w:tcW w:w="0" w:type="auto"/>
            <w:vAlign w:val="center"/>
          </w:tcPr>
          <w:p w:rsidR="008F6ABB" w:rsidRPr="00436AD8" w:rsidRDefault="008F6ABB" w:rsidP="00EE1148">
            <w:pPr>
              <w:rPr>
                <w:rFonts w:cstheme="minorHAnsi"/>
              </w:rPr>
            </w:pPr>
            <w:r w:rsidRPr="00436AD8">
              <w:rPr>
                <w:rFonts w:cstheme="minorHAnsi"/>
              </w:rPr>
              <w:t>Tax</w:t>
            </w:r>
            <w:r w:rsidR="00B8557A" w:rsidRPr="00436AD8">
              <w:rPr>
                <w:rFonts w:cstheme="minorHAnsi"/>
              </w:rPr>
              <w:t xml:space="preserve"> </w:t>
            </w:r>
            <w:r w:rsidRPr="00436AD8">
              <w:rPr>
                <w:rFonts w:cstheme="minorHAnsi"/>
              </w:rPr>
              <w:t>Identification</w:t>
            </w:r>
            <w:r w:rsidR="00B8557A" w:rsidRPr="00436AD8">
              <w:rPr>
                <w:rFonts w:cstheme="minorHAnsi"/>
              </w:rPr>
              <w:t xml:space="preserve"> </w:t>
            </w:r>
            <w:r w:rsidRPr="00436AD8">
              <w:rPr>
                <w:rFonts w:cstheme="minorHAnsi"/>
              </w:rPr>
              <w:t>Number</w:t>
            </w:r>
          </w:p>
        </w:tc>
      </w:tr>
      <w:tr w:rsidR="006C1D3C" w:rsidRPr="00436AD8" w:rsidTr="00E36FF6">
        <w:trPr>
          <w:cantSplit/>
          <w:trHeight w:val="144"/>
          <w:tblCellSpacing w:w="0" w:type="dxa"/>
        </w:trPr>
        <w:tc>
          <w:tcPr>
            <w:tcW w:w="0" w:type="auto"/>
            <w:vAlign w:val="center"/>
          </w:tcPr>
          <w:p w:rsidR="006C1D3C" w:rsidRPr="00436AD8" w:rsidRDefault="006C1D3C" w:rsidP="00EE1148">
            <w:pPr>
              <w:rPr>
                <w:rFonts w:cstheme="minorHAnsi"/>
              </w:rPr>
            </w:pPr>
            <w:r w:rsidRPr="00436AD8">
              <w:rPr>
                <w:rFonts w:cstheme="minorHAnsi"/>
              </w:rPr>
              <w:t>Treasury</w:t>
            </w:r>
          </w:p>
        </w:tc>
        <w:tc>
          <w:tcPr>
            <w:tcW w:w="0" w:type="auto"/>
            <w:vAlign w:val="center"/>
          </w:tcPr>
          <w:p w:rsidR="006C1D3C" w:rsidRPr="00436AD8" w:rsidRDefault="00CC73A1" w:rsidP="00EE1148">
            <w:pPr>
              <w:rPr>
                <w:rFonts w:cstheme="minorHAnsi"/>
              </w:rPr>
            </w:pPr>
            <w:hyperlink r:id="rId109" w:history="1">
              <w:r w:rsidR="006C1D3C" w:rsidRPr="00436AD8">
                <w:rPr>
                  <w:rStyle w:val="Hyperlink"/>
                  <w:rFonts w:cstheme="minorHAnsi"/>
                </w:rPr>
                <w:t>U.S. Department of Treasury</w:t>
              </w:r>
            </w:hyperlink>
          </w:p>
        </w:tc>
      </w:tr>
      <w:tr w:rsidR="006C1D3C" w:rsidRPr="00436AD8" w:rsidTr="00E36FF6">
        <w:trPr>
          <w:cantSplit/>
          <w:trHeight w:val="144"/>
          <w:tblCellSpacing w:w="0" w:type="dxa"/>
        </w:trPr>
        <w:tc>
          <w:tcPr>
            <w:tcW w:w="0" w:type="auto"/>
            <w:vAlign w:val="center"/>
          </w:tcPr>
          <w:p w:rsidR="006C1D3C" w:rsidRPr="00436AD8" w:rsidRDefault="006C1D3C" w:rsidP="00EE1148">
            <w:pPr>
              <w:rPr>
                <w:rFonts w:cstheme="minorHAnsi"/>
              </w:rPr>
            </w:pPr>
          </w:p>
        </w:tc>
        <w:tc>
          <w:tcPr>
            <w:tcW w:w="0" w:type="auto"/>
            <w:vAlign w:val="center"/>
          </w:tcPr>
          <w:p w:rsidR="006C1D3C" w:rsidRPr="00436AD8" w:rsidRDefault="006C1D3C" w:rsidP="00EE1148">
            <w:pPr>
              <w:rPr>
                <w:rFonts w:cstheme="minorHAnsi"/>
              </w:rPr>
            </w:pPr>
          </w:p>
        </w:tc>
      </w:tr>
    </w:tbl>
    <w:p w:rsidR="008F6ABB" w:rsidRPr="00436AD8" w:rsidRDefault="008F6ABB" w:rsidP="008F6ABB">
      <w:pPr>
        <w:rPr>
          <w:rFonts w:cstheme="minorHAnsi"/>
          <w:b/>
        </w:rPr>
        <w:sectPr w:rsidR="008F6ABB" w:rsidRPr="00436AD8" w:rsidSect="00EC6BE7">
          <w:footerReference w:type="first" r:id="rId110"/>
          <w:type w:val="continuous"/>
          <w:pgSz w:w="12240" w:h="15840"/>
          <w:pgMar w:top="720" w:right="720" w:bottom="720" w:left="720" w:header="720" w:footer="432" w:gutter="0"/>
          <w:cols w:num="2" w:space="720"/>
          <w:titlePg/>
          <w:docGrid w:linePitch="360"/>
        </w:sectPr>
      </w:pPr>
    </w:p>
    <w:p w:rsidR="00182C0A" w:rsidRPr="00436AD8" w:rsidRDefault="00182C0A" w:rsidP="00182C0A">
      <w:pPr>
        <w:rPr>
          <w:rFonts w:cstheme="minorHAnsi"/>
          <w:b/>
        </w:rPr>
      </w:pPr>
    </w:p>
    <w:bookmarkEnd w:id="1"/>
    <w:p w:rsidR="00826686" w:rsidRPr="00F63731" w:rsidRDefault="00826686" w:rsidP="00826686">
      <w:pPr>
        <w:autoSpaceDE w:val="0"/>
        <w:autoSpaceDN w:val="0"/>
        <w:adjustRightInd w:val="0"/>
        <w:rPr>
          <w:rFonts w:ascii="Georgia" w:hAnsi="Georgia"/>
          <w:sz w:val="18"/>
          <w:szCs w:val="18"/>
        </w:rPr>
      </w:pPr>
      <w:r w:rsidRPr="00F63731">
        <w:rPr>
          <w:rFonts w:ascii="Georgia" w:hAnsi="Georgia"/>
          <w:sz w:val="18"/>
          <w:szCs w:val="18"/>
        </w:rPr>
        <w:t xml:space="preserve">This publication is designed to provide accurate and authoritative information </w:t>
      </w:r>
      <w:proofErr w:type="gramStart"/>
      <w:r w:rsidRPr="00F63731">
        <w:rPr>
          <w:rFonts w:ascii="Georgia" w:hAnsi="Georgia"/>
          <w:sz w:val="18"/>
          <w:szCs w:val="18"/>
        </w:rPr>
        <w:t>in regard to</w:t>
      </w:r>
      <w:proofErr w:type="gramEnd"/>
      <w:r w:rsidRPr="00F63731">
        <w:rPr>
          <w:rFonts w:ascii="Georgia" w:hAnsi="Georgia"/>
          <w:sz w:val="18"/>
          <w:szCs w:val="18"/>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w:t>
      </w:r>
      <w:r>
        <w:rPr>
          <w:rFonts w:ascii="Georgia" w:hAnsi="Georgia"/>
          <w:sz w:val="18"/>
          <w:szCs w:val="18"/>
        </w:rPr>
        <w:t>Kelly Goulart</w:t>
      </w:r>
      <w:r w:rsidRPr="00F63731">
        <w:rPr>
          <w:rFonts w:ascii="Georgia" w:hAnsi="Georgia"/>
          <w:sz w:val="18"/>
          <w:szCs w:val="18"/>
        </w:rPr>
        <w:t xml:space="preserve"> Editor; Oklahoma Edition, copyrighted by Craig Buford, CBAO President and CEO.</w:t>
      </w:r>
    </w:p>
    <w:p w:rsidR="00826686" w:rsidRPr="00F63731" w:rsidRDefault="00826686" w:rsidP="00826686">
      <w:pPr>
        <w:autoSpaceDE w:val="0"/>
        <w:autoSpaceDN w:val="0"/>
        <w:adjustRightInd w:val="0"/>
        <w:rPr>
          <w:rFonts w:ascii="Georgia" w:hAnsi="Georgia"/>
          <w:sz w:val="18"/>
          <w:szCs w:val="18"/>
        </w:rPr>
      </w:pPr>
    </w:p>
    <w:p w:rsidR="00826686" w:rsidRPr="00F63731" w:rsidRDefault="00826686" w:rsidP="00826686">
      <w:pPr>
        <w:autoSpaceDE w:val="0"/>
        <w:autoSpaceDN w:val="0"/>
        <w:adjustRightInd w:val="0"/>
        <w:rPr>
          <w:rFonts w:ascii="Georgia" w:hAnsi="Georgia"/>
          <w:sz w:val="18"/>
          <w:szCs w:val="18"/>
        </w:rPr>
      </w:pPr>
      <w:r w:rsidRPr="00F63731">
        <w:rPr>
          <w:rFonts w:ascii="Georgia" w:hAnsi="Georgia"/>
          <w:sz w:val="18"/>
          <w:szCs w:val="18"/>
        </w:rPr>
        <w:t>Capitol Comments</w:t>
      </w:r>
    </w:p>
    <w:p w:rsidR="00826686" w:rsidRPr="00F63731" w:rsidRDefault="00826686" w:rsidP="00826686">
      <w:pPr>
        <w:autoSpaceDE w:val="0"/>
        <w:autoSpaceDN w:val="0"/>
        <w:adjustRightInd w:val="0"/>
        <w:rPr>
          <w:rFonts w:ascii="Georgia" w:hAnsi="Georgia"/>
          <w:sz w:val="18"/>
          <w:szCs w:val="18"/>
        </w:rPr>
      </w:pPr>
      <w:r w:rsidRPr="00F63731">
        <w:rPr>
          <w:rFonts w:ascii="Georgia" w:hAnsi="Georgia"/>
          <w:sz w:val="18"/>
          <w:szCs w:val="18"/>
        </w:rPr>
        <w:t>Craig Buford, CAE</w:t>
      </w:r>
    </w:p>
    <w:p w:rsidR="00826686" w:rsidRPr="00F63731" w:rsidRDefault="00826686" w:rsidP="00826686">
      <w:pPr>
        <w:autoSpaceDE w:val="0"/>
        <w:autoSpaceDN w:val="0"/>
        <w:adjustRightInd w:val="0"/>
        <w:rPr>
          <w:rFonts w:ascii="Georgia" w:hAnsi="Georgia"/>
          <w:sz w:val="18"/>
          <w:szCs w:val="18"/>
        </w:rPr>
      </w:pPr>
      <w:r w:rsidRPr="00F63731">
        <w:rPr>
          <w:rFonts w:ascii="Georgia" w:hAnsi="Georgia"/>
          <w:sz w:val="18"/>
          <w:szCs w:val="18"/>
        </w:rPr>
        <w:t>President and CEO</w:t>
      </w:r>
    </w:p>
    <w:p w:rsidR="00826686" w:rsidRPr="00F63731" w:rsidRDefault="00826686" w:rsidP="00826686">
      <w:pPr>
        <w:autoSpaceDE w:val="0"/>
        <w:autoSpaceDN w:val="0"/>
        <w:adjustRightInd w:val="0"/>
        <w:rPr>
          <w:rFonts w:ascii="Georgia" w:hAnsi="Georgia"/>
          <w:sz w:val="18"/>
          <w:szCs w:val="18"/>
        </w:rPr>
      </w:pPr>
      <w:r w:rsidRPr="00F63731">
        <w:rPr>
          <w:rFonts w:ascii="Georgia" w:hAnsi="Georgia"/>
          <w:sz w:val="18"/>
          <w:szCs w:val="18"/>
        </w:rPr>
        <w:t>Community Bankers Association of Oklahoma</w:t>
      </w:r>
    </w:p>
    <w:p w:rsidR="00826686" w:rsidRPr="00F63731" w:rsidRDefault="00826686" w:rsidP="00826686">
      <w:pPr>
        <w:autoSpaceDE w:val="0"/>
        <w:autoSpaceDN w:val="0"/>
        <w:adjustRightInd w:val="0"/>
        <w:rPr>
          <w:rFonts w:ascii="Georgia" w:hAnsi="Georgia"/>
          <w:sz w:val="18"/>
          <w:szCs w:val="18"/>
        </w:rPr>
      </w:pPr>
      <w:r>
        <w:rPr>
          <w:rFonts w:ascii="Georgia" w:hAnsi="Georgia"/>
          <w:sz w:val="18"/>
          <w:szCs w:val="18"/>
        </w:rPr>
        <w:t>9220 North Kelley</w:t>
      </w:r>
    </w:p>
    <w:p w:rsidR="00826686" w:rsidRPr="00F63731" w:rsidRDefault="00826686" w:rsidP="00826686">
      <w:pPr>
        <w:autoSpaceDE w:val="0"/>
        <w:autoSpaceDN w:val="0"/>
        <w:adjustRightInd w:val="0"/>
        <w:rPr>
          <w:rFonts w:ascii="Georgia" w:hAnsi="Georgia"/>
          <w:sz w:val="18"/>
          <w:szCs w:val="18"/>
        </w:rPr>
      </w:pPr>
      <w:r w:rsidRPr="00F63731">
        <w:rPr>
          <w:rFonts w:ascii="Georgia" w:hAnsi="Georgia"/>
          <w:sz w:val="18"/>
          <w:szCs w:val="18"/>
        </w:rPr>
        <w:t>Oklahoma City, OK 7</w:t>
      </w:r>
      <w:r>
        <w:rPr>
          <w:rFonts w:ascii="Georgia" w:hAnsi="Georgia"/>
          <w:sz w:val="18"/>
          <w:szCs w:val="18"/>
        </w:rPr>
        <w:t>3131</w:t>
      </w:r>
    </w:p>
    <w:p w:rsidR="00826686" w:rsidRPr="003374E4" w:rsidRDefault="00826686" w:rsidP="00826686">
      <w:pPr>
        <w:autoSpaceDE w:val="0"/>
        <w:autoSpaceDN w:val="0"/>
        <w:adjustRightInd w:val="0"/>
        <w:rPr>
          <w:rFonts w:ascii="Georgia" w:hAnsi="Georgia"/>
          <w:sz w:val="18"/>
          <w:szCs w:val="18"/>
        </w:rPr>
      </w:pPr>
      <w:r w:rsidRPr="00F63731">
        <w:rPr>
          <w:rFonts w:ascii="Georgia" w:hAnsi="Georgia"/>
          <w:sz w:val="18"/>
          <w:szCs w:val="18"/>
        </w:rPr>
        <w:t>Office: 405-524-4122</w:t>
      </w:r>
      <w:bookmarkStart w:id="50" w:name="_GoBack"/>
      <w:bookmarkEnd w:id="50"/>
    </w:p>
    <w:p w:rsidR="008F6ABB" w:rsidRPr="00436AD8" w:rsidRDefault="008F6ABB" w:rsidP="00182C0A">
      <w:pPr>
        <w:rPr>
          <w:rFonts w:cstheme="minorHAnsi"/>
        </w:rPr>
      </w:pPr>
    </w:p>
    <w:sectPr w:rsidR="008F6ABB" w:rsidRPr="00436AD8" w:rsidSect="00EC6BE7">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A1" w:rsidRDefault="00CC73A1" w:rsidP="005E2416">
      <w:r>
        <w:separator/>
      </w:r>
    </w:p>
  </w:endnote>
  <w:endnote w:type="continuationSeparator" w:id="0">
    <w:p w:rsidR="00CC73A1" w:rsidRDefault="00CC73A1"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ITC Avant Garde Gothic Demi">
    <w:altName w:val="Calibri"/>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BF" w:rsidRPr="002F60BF" w:rsidRDefault="002F60BF" w:rsidP="002F60BF">
    <w:pPr>
      <w:pStyle w:val="Footer"/>
      <w:tabs>
        <w:tab w:val="clear" w:pos="4680"/>
        <w:tab w:val="clear" w:pos="9360"/>
        <w:tab w:val="center" w:pos="5400"/>
        <w:tab w:val="right" w:pos="10800"/>
      </w:tabs>
      <w:rPr>
        <w:b/>
        <w:color w:val="002060"/>
      </w:rPr>
    </w:pPr>
    <w:r w:rsidRPr="002F60BF">
      <w:rPr>
        <w:b/>
        <w:color w:val="002060"/>
      </w:rPr>
      <w:t>Capitol Comments</w:t>
    </w:r>
    <w:r w:rsidRPr="002F60BF">
      <w:rPr>
        <w:b/>
        <w:color w:val="002060"/>
      </w:rPr>
      <w:tab/>
      <w:t>March 2018</w:t>
    </w:r>
    <w:r w:rsidRPr="002F60BF">
      <w:rPr>
        <w:b/>
        <w:color w:val="002060"/>
      </w:rPr>
      <w:tab/>
      <w:t xml:space="preserve">Page </w:t>
    </w:r>
    <w:r w:rsidRPr="002F60BF">
      <w:rPr>
        <w:b/>
        <w:color w:val="002060"/>
      </w:rPr>
      <w:fldChar w:fldCharType="begin"/>
    </w:r>
    <w:r w:rsidRPr="002F60BF">
      <w:rPr>
        <w:b/>
        <w:color w:val="002060"/>
      </w:rPr>
      <w:instrText xml:space="preserve"> PAGE   \* MERGEFORMAT </w:instrText>
    </w:r>
    <w:r w:rsidRPr="002F60BF">
      <w:rPr>
        <w:b/>
        <w:color w:val="002060"/>
      </w:rPr>
      <w:fldChar w:fldCharType="separate"/>
    </w:r>
    <w:r>
      <w:rPr>
        <w:b/>
        <w:noProof/>
        <w:color w:val="002060"/>
      </w:rPr>
      <w:t>13</w:t>
    </w:r>
    <w:r w:rsidRPr="002F60BF">
      <w:rPr>
        <w:b/>
        <w:noProof/>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9F" w:rsidRDefault="00DF639F" w:rsidP="00B72C70">
    <w:pPr>
      <w:pStyle w:val="Footer"/>
      <w:tabs>
        <w:tab w:val="clear" w:pos="4680"/>
        <w:tab w:val="clear" w:pos="9360"/>
        <w:tab w:val="center" w:pos="5400"/>
        <w:tab w:val="right" w:pos="10800"/>
      </w:tabs>
      <w:rPr>
        <w:rFonts w:ascii="ITC Avant Garde Gothic Demi" w:hAnsi="ITC Avant Garde Gothic Demi"/>
        <w:color w:val="03653F"/>
      </w:rPr>
    </w:pPr>
  </w:p>
  <w:p w:rsidR="00DF639F" w:rsidRPr="005E2416" w:rsidRDefault="00DF639F"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9F" w:rsidRDefault="00DF639F" w:rsidP="00B72C70">
    <w:pPr>
      <w:pStyle w:val="Footer"/>
      <w:tabs>
        <w:tab w:val="clear" w:pos="4680"/>
        <w:tab w:val="clear" w:pos="9360"/>
        <w:tab w:val="center" w:pos="5400"/>
        <w:tab w:val="right" w:pos="10800"/>
      </w:tabs>
      <w:rPr>
        <w:rFonts w:ascii="ITC Avant Garde Gothic Demi" w:hAnsi="ITC Avant Garde Gothic Demi"/>
        <w:color w:val="03653F"/>
      </w:rPr>
    </w:pPr>
  </w:p>
  <w:p w:rsidR="00DF639F" w:rsidRPr="005E2416" w:rsidRDefault="00DF639F"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March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sidR="002F60BF">
      <w:rPr>
        <w:rFonts w:ascii="ITC Avant Garde Gothic Demi" w:hAnsi="ITC Avant Garde Gothic Demi"/>
        <w:noProof/>
        <w:color w:val="03653F"/>
      </w:rPr>
      <w:t>12</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A1" w:rsidRDefault="00CC73A1" w:rsidP="005E2416">
      <w:r>
        <w:separator/>
      </w:r>
    </w:p>
  </w:footnote>
  <w:footnote w:type="continuationSeparator" w:id="0">
    <w:p w:rsidR="00CC73A1" w:rsidRDefault="00CC73A1"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430"/>
    <w:multiLevelType w:val="hybridMultilevel"/>
    <w:tmpl w:val="A5AC5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A6C41"/>
    <w:multiLevelType w:val="multilevel"/>
    <w:tmpl w:val="6D04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1E4F9D"/>
    <w:multiLevelType w:val="multilevel"/>
    <w:tmpl w:val="FC90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224C6"/>
    <w:multiLevelType w:val="multilevel"/>
    <w:tmpl w:val="0E1E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F46A9"/>
    <w:multiLevelType w:val="multilevel"/>
    <w:tmpl w:val="26F4E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F5C52"/>
    <w:multiLevelType w:val="hybridMultilevel"/>
    <w:tmpl w:val="159C500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3EA219AF"/>
    <w:multiLevelType w:val="multilevel"/>
    <w:tmpl w:val="8B0488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55493"/>
    <w:multiLevelType w:val="multilevel"/>
    <w:tmpl w:val="AE9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D3DC5"/>
    <w:multiLevelType w:val="hybridMultilevel"/>
    <w:tmpl w:val="CB16C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D217F0"/>
    <w:multiLevelType w:val="multilevel"/>
    <w:tmpl w:val="05C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76650"/>
    <w:multiLevelType w:val="multilevel"/>
    <w:tmpl w:val="CB3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05FA3"/>
    <w:multiLevelType w:val="multilevel"/>
    <w:tmpl w:val="647E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C2706"/>
    <w:multiLevelType w:val="multilevel"/>
    <w:tmpl w:val="851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70ED0"/>
    <w:multiLevelType w:val="multilevel"/>
    <w:tmpl w:val="D31E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B1E06"/>
    <w:multiLevelType w:val="hybridMultilevel"/>
    <w:tmpl w:val="18B4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F73A2C"/>
    <w:multiLevelType w:val="hybridMultilevel"/>
    <w:tmpl w:val="AD263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0938AF"/>
    <w:multiLevelType w:val="multilevel"/>
    <w:tmpl w:val="A394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2"/>
  </w:num>
  <w:num w:numId="4">
    <w:abstractNumId w:val="17"/>
  </w:num>
  <w:num w:numId="5">
    <w:abstractNumId w:val="8"/>
  </w:num>
  <w:num w:numId="6">
    <w:abstractNumId w:val="4"/>
  </w:num>
  <w:num w:numId="7">
    <w:abstractNumId w:val="7"/>
  </w:num>
  <w:num w:numId="8">
    <w:abstractNumId w:val="13"/>
  </w:num>
  <w:num w:numId="9">
    <w:abstractNumId w:val="3"/>
  </w:num>
  <w:num w:numId="10">
    <w:abstractNumId w:val="1"/>
  </w:num>
  <w:num w:numId="11">
    <w:abstractNumId w:val="5"/>
  </w:num>
  <w:num w:numId="12">
    <w:abstractNumId w:val="10"/>
  </w:num>
  <w:num w:numId="13">
    <w:abstractNumId w:val="11"/>
  </w:num>
  <w:num w:numId="14">
    <w:abstractNumId w:val="15"/>
  </w:num>
  <w:num w:numId="15">
    <w:abstractNumId w:val="0"/>
  </w:num>
  <w:num w:numId="16">
    <w:abstractNumId w:val="16"/>
  </w:num>
  <w:num w:numId="17">
    <w:abstractNumId w:val="6"/>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FAA"/>
    <w:rsid w:val="00002D32"/>
    <w:rsid w:val="000112AB"/>
    <w:rsid w:val="00011B51"/>
    <w:rsid w:val="00012841"/>
    <w:rsid w:val="00012A95"/>
    <w:rsid w:val="00014C5B"/>
    <w:rsid w:val="00014ED1"/>
    <w:rsid w:val="000159BF"/>
    <w:rsid w:val="000165FA"/>
    <w:rsid w:val="0002131A"/>
    <w:rsid w:val="00021889"/>
    <w:rsid w:val="000219FE"/>
    <w:rsid w:val="00022079"/>
    <w:rsid w:val="000234E3"/>
    <w:rsid w:val="00023BC6"/>
    <w:rsid w:val="00024948"/>
    <w:rsid w:val="000257D1"/>
    <w:rsid w:val="00026F02"/>
    <w:rsid w:val="00032E07"/>
    <w:rsid w:val="000336AA"/>
    <w:rsid w:val="000338DA"/>
    <w:rsid w:val="00035AC9"/>
    <w:rsid w:val="00040120"/>
    <w:rsid w:val="00040375"/>
    <w:rsid w:val="000408B9"/>
    <w:rsid w:val="00044E1D"/>
    <w:rsid w:val="00046489"/>
    <w:rsid w:val="00047119"/>
    <w:rsid w:val="00050ED6"/>
    <w:rsid w:val="00052160"/>
    <w:rsid w:val="00052176"/>
    <w:rsid w:val="00052C77"/>
    <w:rsid w:val="000545E0"/>
    <w:rsid w:val="000549F5"/>
    <w:rsid w:val="00054EA9"/>
    <w:rsid w:val="0005732E"/>
    <w:rsid w:val="000600CA"/>
    <w:rsid w:val="00060967"/>
    <w:rsid w:val="00060FB6"/>
    <w:rsid w:val="00062673"/>
    <w:rsid w:val="000632FF"/>
    <w:rsid w:val="00066E97"/>
    <w:rsid w:val="000706D9"/>
    <w:rsid w:val="00070A4C"/>
    <w:rsid w:val="000714E0"/>
    <w:rsid w:val="0007189B"/>
    <w:rsid w:val="00071F6F"/>
    <w:rsid w:val="00073CD9"/>
    <w:rsid w:val="00074829"/>
    <w:rsid w:val="0007565B"/>
    <w:rsid w:val="00075669"/>
    <w:rsid w:val="00077034"/>
    <w:rsid w:val="00077C3B"/>
    <w:rsid w:val="00083948"/>
    <w:rsid w:val="00084FC3"/>
    <w:rsid w:val="00091168"/>
    <w:rsid w:val="00091865"/>
    <w:rsid w:val="0009355E"/>
    <w:rsid w:val="0009634C"/>
    <w:rsid w:val="000973E5"/>
    <w:rsid w:val="000977DA"/>
    <w:rsid w:val="00097E64"/>
    <w:rsid w:val="000A1AF4"/>
    <w:rsid w:val="000A2FA7"/>
    <w:rsid w:val="000A33C1"/>
    <w:rsid w:val="000A41EA"/>
    <w:rsid w:val="000A4F1B"/>
    <w:rsid w:val="000A5EEB"/>
    <w:rsid w:val="000B1F96"/>
    <w:rsid w:val="000B3F44"/>
    <w:rsid w:val="000B64E8"/>
    <w:rsid w:val="000B65CC"/>
    <w:rsid w:val="000C38E1"/>
    <w:rsid w:val="000C3C10"/>
    <w:rsid w:val="000C59A1"/>
    <w:rsid w:val="000C6C5C"/>
    <w:rsid w:val="000C79F8"/>
    <w:rsid w:val="000C7C83"/>
    <w:rsid w:val="000D5ED6"/>
    <w:rsid w:val="000D63CB"/>
    <w:rsid w:val="000D63FA"/>
    <w:rsid w:val="000D6AD2"/>
    <w:rsid w:val="000D6C5E"/>
    <w:rsid w:val="000D6EB9"/>
    <w:rsid w:val="000D7378"/>
    <w:rsid w:val="000D7ABE"/>
    <w:rsid w:val="000E3316"/>
    <w:rsid w:val="000E3520"/>
    <w:rsid w:val="000E523A"/>
    <w:rsid w:val="000F0EC9"/>
    <w:rsid w:val="000F2564"/>
    <w:rsid w:val="000F5142"/>
    <w:rsid w:val="000F5252"/>
    <w:rsid w:val="000F5E3B"/>
    <w:rsid w:val="001018EF"/>
    <w:rsid w:val="00106796"/>
    <w:rsid w:val="00111857"/>
    <w:rsid w:val="00113146"/>
    <w:rsid w:val="001137DD"/>
    <w:rsid w:val="00114916"/>
    <w:rsid w:val="00115C92"/>
    <w:rsid w:val="001166B9"/>
    <w:rsid w:val="00116F2C"/>
    <w:rsid w:val="0012161C"/>
    <w:rsid w:val="00122BDA"/>
    <w:rsid w:val="00125670"/>
    <w:rsid w:val="00125758"/>
    <w:rsid w:val="00125C9D"/>
    <w:rsid w:val="00130132"/>
    <w:rsid w:val="0013265B"/>
    <w:rsid w:val="001338F2"/>
    <w:rsid w:val="00140DDA"/>
    <w:rsid w:val="00141797"/>
    <w:rsid w:val="00141C47"/>
    <w:rsid w:val="00142283"/>
    <w:rsid w:val="00143B20"/>
    <w:rsid w:val="001444F3"/>
    <w:rsid w:val="001459F0"/>
    <w:rsid w:val="00145CE6"/>
    <w:rsid w:val="00147656"/>
    <w:rsid w:val="00147F35"/>
    <w:rsid w:val="00154231"/>
    <w:rsid w:val="001547EA"/>
    <w:rsid w:val="00155B85"/>
    <w:rsid w:val="00157E58"/>
    <w:rsid w:val="001604EC"/>
    <w:rsid w:val="00164B16"/>
    <w:rsid w:val="00164D32"/>
    <w:rsid w:val="00167281"/>
    <w:rsid w:val="00167F99"/>
    <w:rsid w:val="001700E0"/>
    <w:rsid w:val="00172281"/>
    <w:rsid w:val="00173D52"/>
    <w:rsid w:val="00175D89"/>
    <w:rsid w:val="0017728A"/>
    <w:rsid w:val="00177945"/>
    <w:rsid w:val="00177EE2"/>
    <w:rsid w:val="0018071C"/>
    <w:rsid w:val="00182C0A"/>
    <w:rsid w:val="00183970"/>
    <w:rsid w:val="00186139"/>
    <w:rsid w:val="001944CD"/>
    <w:rsid w:val="00195C39"/>
    <w:rsid w:val="001A552D"/>
    <w:rsid w:val="001A59ED"/>
    <w:rsid w:val="001A7B94"/>
    <w:rsid w:val="001B051A"/>
    <w:rsid w:val="001B07EA"/>
    <w:rsid w:val="001B136B"/>
    <w:rsid w:val="001B2A9B"/>
    <w:rsid w:val="001B332E"/>
    <w:rsid w:val="001B4EFD"/>
    <w:rsid w:val="001C04BE"/>
    <w:rsid w:val="001C2419"/>
    <w:rsid w:val="001C3107"/>
    <w:rsid w:val="001C5595"/>
    <w:rsid w:val="001D0693"/>
    <w:rsid w:val="001D304D"/>
    <w:rsid w:val="001D4076"/>
    <w:rsid w:val="001D5E46"/>
    <w:rsid w:val="001D6F5C"/>
    <w:rsid w:val="001E01F5"/>
    <w:rsid w:val="001E115D"/>
    <w:rsid w:val="001E3B58"/>
    <w:rsid w:val="001E7DF6"/>
    <w:rsid w:val="001F039A"/>
    <w:rsid w:val="001F2350"/>
    <w:rsid w:val="001F32AF"/>
    <w:rsid w:val="001F4182"/>
    <w:rsid w:val="001F4E19"/>
    <w:rsid w:val="001F57F9"/>
    <w:rsid w:val="001F60C9"/>
    <w:rsid w:val="001F6388"/>
    <w:rsid w:val="001F73DD"/>
    <w:rsid w:val="002008E4"/>
    <w:rsid w:val="00200A97"/>
    <w:rsid w:val="00202994"/>
    <w:rsid w:val="0020586D"/>
    <w:rsid w:val="002073FD"/>
    <w:rsid w:val="00207602"/>
    <w:rsid w:val="0021057F"/>
    <w:rsid w:val="00211CEA"/>
    <w:rsid w:val="00212087"/>
    <w:rsid w:val="002155BD"/>
    <w:rsid w:val="002159E3"/>
    <w:rsid w:val="00217AF2"/>
    <w:rsid w:val="002221C5"/>
    <w:rsid w:val="00222222"/>
    <w:rsid w:val="00230EE7"/>
    <w:rsid w:val="00233A1F"/>
    <w:rsid w:val="00241553"/>
    <w:rsid w:val="002415ED"/>
    <w:rsid w:val="00242B70"/>
    <w:rsid w:val="00242F4B"/>
    <w:rsid w:val="00243C22"/>
    <w:rsid w:val="0024457E"/>
    <w:rsid w:val="00246580"/>
    <w:rsid w:val="0024752B"/>
    <w:rsid w:val="00250131"/>
    <w:rsid w:val="0025304A"/>
    <w:rsid w:val="00257D95"/>
    <w:rsid w:val="002662EE"/>
    <w:rsid w:val="002669DA"/>
    <w:rsid w:val="002711E9"/>
    <w:rsid w:val="00271F03"/>
    <w:rsid w:val="00274B81"/>
    <w:rsid w:val="00275403"/>
    <w:rsid w:val="00276122"/>
    <w:rsid w:val="002768A8"/>
    <w:rsid w:val="00276C6E"/>
    <w:rsid w:val="0027771E"/>
    <w:rsid w:val="00280864"/>
    <w:rsid w:val="0028170D"/>
    <w:rsid w:val="002832D9"/>
    <w:rsid w:val="00284009"/>
    <w:rsid w:val="002856CA"/>
    <w:rsid w:val="002905F0"/>
    <w:rsid w:val="00290740"/>
    <w:rsid w:val="00291D66"/>
    <w:rsid w:val="002A1141"/>
    <w:rsid w:val="002A35D1"/>
    <w:rsid w:val="002A43A1"/>
    <w:rsid w:val="002B080D"/>
    <w:rsid w:val="002B2599"/>
    <w:rsid w:val="002C1466"/>
    <w:rsid w:val="002C4FA2"/>
    <w:rsid w:val="002C6A54"/>
    <w:rsid w:val="002D1907"/>
    <w:rsid w:val="002D20B9"/>
    <w:rsid w:val="002D568B"/>
    <w:rsid w:val="002D5B56"/>
    <w:rsid w:val="002D5F40"/>
    <w:rsid w:val="002D6C8E"/>
    <w:rsid w:val="002E19F1"/>
    <w:rsid w:val="002E2B62"/>
    <w:rsid w:val="002E2F46"/>
    <w:rsid w:val="002E42BB"/>
    <w:rsid w:val="002E5154"/>
    <w:rsid w:val="002E6418"/>
    <w:rsid w:val="002F0294"/>
    <w:rsid w:val="002F11AD"/>
    <w:rsid w:val="002F14B7"/>
    <w:rsid w:val="002F2B1C"/>
    <w:rsid w:val="002F52F9"/>
    <w:rsid w:val="002F60BF"/>
    <w:rsid w:val="00300144"/>
    <w:rsid w:val="0030095C"/>
    <w:rsid w:val="00301C58"/>
    <w:rsid w:val="00303A66"/>
    <w:rsid w:val="003044ED"/>
    <w:rsid w:val="00306FF8"/>
    <w:rsid w:val="0030717B"/>
    <w:rsid w:val="00307283"/>
    <w:rsid w:val="00307AA9"/>
    <w:rsid w:val="00310237"/>
    <w:rsid w:val="00311320"/>
    <w:rsid w:val="00313A84"/>
    <w:rsid w:val="003163DE"/>
    <w:rsid w:val="00323369"/>
    <w:rsid w:val="0032348B"/>
    <w:rsid w:val="0032589C"/>
    <w:rsid w:val="003268D2"/>
    <w:rsid w:val="003273BC"/>
    <w:rsid w:val="003276B1"/>
    <w:rsid w:val="003304FC"/>
    <w:rsid w:val="003312A1"/>
    <w:rsid w:val="003328A0"/>
    <w:rsid w:val="00334478"/>
    <w:rsid w:val="00335DF3"/>
    <w:rsid w:val="00337B3D"/>
    <w:rsid w:val="00340080"/>
    <w:rsid w:val="0034104D"/>
    <w:rsid w:val="00341056"/>
    <w:rsid w:val="00342073"/>
    <w:rsid w:val="00344B1F"/>
    <w:rsid w:val="003450EA"/>
    <w:rsid w:val="003473A9"/>
    <w:rsid w:val="00352FDE"/>
    <w:rsid w:val="003546D6"/>
    <w:rsid w:val="0035488A"/>
    <w:rsid w:val="00354ADD"/>
    <w:rsid w:val="00356709"/>
    <w:rsid w:val="00356A3E"/>
    <w:rsid w:val="0036440E"/>
    <w:rsid w:val="00366848"/>
    <w:rsid w:val="00366D64"/>
    <w:rsid w:val="0036757F"/>
    <w:rsid w:val="003719FA"/>
    <w:rsid w:val="00371FD5"/>
    <w:rsid w:val="003727DC"/>
    <w:rsid w:val="003765EB"/>
    <w:rsid w:val="00377DC4"/>
    <w:rsid w:val="00377EFC"/>
    <w:rsid w:val="003800F3"/>
    <w:rsid w:val="003802BC"/>
    <w:rsid w:val="003821A1"/>
    <w:rsid w:val="00383ABD"/>
    <w:rsid w:val="0038424F"/>
    <w:rsid w:val="00385B25"/>
    <w:rsid w:val="00386945"/>
    <w:rsid w:val="003879D5"/>
    <w:rsid w:val="00395846"/>
    <w:rsid w:val="003959E7"/>
    <w:rsid w:val="00395C2F"/>
    <w:rsid w:val="003A39F4"/>
    <w:rsid w:val="003A4042"/>
    <w:rsid w:val="003A4568"/>
    <w:rsid w:val="003B2298"/>
    <w:rsid w:val="003B3BD5"/>
    <w:rsid w:val="003B5050"/>
    <w:rsid w:val="003B5A25"/>
    <w:rsid w:val="003B63F6"/>
    <w:rsid w:val="003B6929"/>
    <w:rsid w:val="003C002D"/>
    <w:rsid w:val="003C01C7"/>
    <w:rsid w:val="003C08C0"/>
    <w:rsid w:val="003C1928"/>
    <w:rsid w:val="003C20D5"/>
    <w:rsid w:val="003C38F7"/>
    <w:rsid w:val="003C74B3"/>
    <w:rsid w:val="003C782F"/>
    <w:rsid w:val="003D0F3E"/>
    <w:rsid w:val="003D222E"/>
    <w:rsid w:val="003D24F6"/>
    <w:rsid w:val="003E1759"/>
    <w:rsid w:val="003E21BF"/>
    <w:rsid w:val="003E22EE"/>
    <w:rsid w:val="003E23A6"/>
    <w:rsid w:val="003E36C4"/>
    <w:rsid w:val="003F00A7"/>
    <w:rsid w:val="003F0D08"/>
    <w:rsid w:val="003F22BD"/>
    <w:rsid w:val="003F2699"/>
    <w:rsid w:val="003F32F8"/>
    <w:rsid w:val="003F456B"/>
    <w:rsid w:val="003F5638"/>
    <w:rsid w:val="0040382B"/>
    <w:rsid w:val="00404A1C"/>
    <w:rsid w:val="0040626A"/>
    <w:rsid w:val="00407E0F"/>
    <w:rsid w:val="00411FC5"/>
    <w:rsid w:val="00413191"/>
    <w:rsid w:val="00413877"/>
    <w:rsid w:val="00416161"/>
    <w:rsid w:val="004162A9"/>
    <w:rsid w:val="00417DDA"/>
    <w:rsid w:val="00421D07"/>
    <w:rsid w:val="00422FC9"/>
    <w:rsid w:val="00423B91"/>
    <w:rsid w:val="00425826"/>
    <w:rsid w:val="00425A3A"/>
    <w:rsid w:val="00426A48"/>
    <w:rsid w:val="0043221B"/>
    <w:rsid w:val="004330BF"/>
    <w:rsid w:val="0043342E"/>
    <w:rsid w:val="0043410A"/>
    <w:rsid w:val="00434205"/>
    <w:rsid w:val="00434510"/>
    <w:rsid w:val="00435355"/>
    <w:rsid w:val="00435BD6"/>
    <w:rsid w:val="00436033"/>
    <w:rsid w:val="004366E4"/>
    <w:rsid w:val="00436AD8"/>
    <w:rsid w:val="00440C8E"/>
    <w:rsid w:val="00441CA4"/>
    <w:rsid w:val="00442BAB"/>
    <w:rsid w:val="00442F94"/>
    <w:rsid w:val="00443D42"/>
    <w:rsid w:val="00443EE4"/>
    <w:rsid w:val="00444D26"/>
    <w:rsid w:val="0044548C"/>
    <w:rsid w:val="00447833"/>
    <w:rsid w:val="00447D6F"/>
    <w:rsid w:val="004509F4"/>
    <w:rsid w:val="0045100C"/>
    <w:rsid w:val="004522CB"/>
    <w:rsid w:val="00452D02"/>
    <w:rsid w:val="00455296"/>
    <w:rsid w:val="00457425"/>
    <w:rsid w:val="00460842"/>
    <w:rsid w:val="00463EBF"/>
    <w:rsid w:val="00464050"/>
    <w:rsid w:val="0046532E"/>
    <w:rsid w:val="004661F1"/>
    <w:rsid w:val="00467DEB"/>
    <w:rsid w:val="00467E11"/>
    <w:rsid w:val="0047158B"/>
    <w:rsid w:val="00472FEF"/>
    <w:rsid w:val="0047428E"/>
    <w:rsid w:val="00474D26"/>
    <w:rsid w:val="00475170"/>
    <w:rsid w:val="004806A5"/>
    <w:rsid w:val="00480D5A"/>
    <w:rsid w:val="004824D2"/>
    <w:rsid w:val="004840D1"/>
    <w:rsid w:val="00484337"/>
    <w:rsid w:val="00485366"/>
    <w:rsid w:val="00486D0D"/>
    <w:rsid w:val="004913DB"/>
    <w:rsid w:val="00492919"/>
    <w:rsid w:val="00496841"/>
    <w:rsid w:val="004A0620"/>
    <w:rsid w:val="004A0686"/>
    <w:rsid w:val="004A398F"/>
    <w:rsid w:val="004A5371"/>
    <w:rsid w:val="004B01FA"/>
    <w:rsid w:val="004B28CC"/>
    <w:rsid w:val="004B59EA"/>
    <w:rsid w:val="004B6439"/>
    <w:rsid w:val="004C1647"/>
    <w:rsid w:val="004C4850"/>
    <w:rsid w:val="004C5C4A"/>
    <w:rsid w:val="004C6CF7"/>
    <w:rsid w:val="004C72C5"/>
    <w:rsid w:val="004D1AF4"/>
    <w:rsid w:val="004D4632"/>
    <w:rsid w:val="004E0498"/>
    <w:rsid w:val="004E6406"/>
    <w:rsid w:val="004F0431"/>
    <w:rsid w:val="004F0B7C"/>
    <w:rsid w:val="004F0EB2"/>
    <w:rsid w:val="004F1080"/>
    <w:rsid w:val="004F1DF9"/>
    <w:rsid w:val="004F1E9D"/>
    <w:rsid w:val="004F519C"/>
    <w:rsid w:val="004F7129"/>
    <w:rsid w:val="004F7151"/>
    <w:rsid w:val="0050237B"/>
    <w:rsid w:val="00503CE8"/>
    <w:rsid w:val="00504EFE"/>
    <w:rsid w:val="00510ABD"/>
    <w:rsid w:val="00520E24"/>
    <w:rsid w:val="00520FA0"/>
    <w:rsid w:val="00521340"/>
    <w:rsid w:val="00524315"/>
    <w:rsid w:val="00525469"/>
    <w:rsid w:val="00527F7C"/>
    <w:rsid w:val="00531577"/>
    <w:rsid w:val="005364F1"/>
    <w:rsid w:val="0053721F"/>
    <w:rsid w:val="00537C3C"/>
    <w:rsid w:val="00544110"/>
    <w:rsid w:val="00545056"/>
    <w:rsid w:val="00546DC4"/>
    <w:rsid w:val="005523F9"/>
    <w:rsid w:val="00553428"/>
    <w:rsid w:val="0055554C"/>
    <w:rsid w:val="00557404"/>
    <w:rsid w:val="005610A5"/>
    <w:rsid w:val="00561C60"/>
    <w:rsid w:val="00563424"/>
    <w:rsid w:val="00565E16"/>
    <w:rsid w:val="00570603"/>
    <w:rsid w:val="0057380F"/>
    <w:rsid w:val="0057491C"/>
    <w:rsid w:val="00574D62"/>
    <w:rsid w:val="00574E77"/>
    <w:rsid w:val="00580726"/>
    <w:rsid w:val="00580E70"/>
    <w:rsid w:val="00582302"/>
    <w:rsid w:val="0058513D"/>
    <w:rsid w:val="005858FF"/>
    <w:rsid w:val="005900D1"/>
    <w:rsid w:val="0059023F"/>
    <w:rsid w:val="005907DE"/>
    <w:rsid w:val="00591A08"/>
    <w:rsid w:val="00592D0B"/>
    <w:rsid w:val="00594CE9"/>
    <w:rsid w:val="00596533"/>
    <w:rsid w:val="005A28C6"/>
    <w:rsid w:val="005A29C2"/>
    <w:rsid w:val="005A4400"/>
    <w:rsid w:val="005A6433"/>
    <w:rsid w:val="005B03B5"/>
    <w:rsid w:val="005B19C8"/>
    <w:rsid w:val="005B2C74"/>
    <w:rsid w:val="005B2E81"/>
    <w:rsid w:val="005B5A9C"/>
    <w:rsid w:val="005B7514"/>
    <w:rsid w:val="005C0AD7"/>
    <w:rsid w:val="005C1AB7"/>
    <w:rsid w:val="005C2788"/>
    <w:rsid w:val="005C35D3"/>
    <w:rsid w:val="005C4A6B"/>
    <w:rsid w:val="005C4C32"/>
    <w:rsid w:val="005C5184"/>
    <w:rsid w:val="005C7537"/>
    <w:rsid w:val="005D0232"/>
    <w:rsid w:val="005D3BC5"/>
    <w:rsid w:val="005D42FA"/>
    <w:rsid w:val="005D6D35"/>
    <w:rsid w:val="005D7C86"/>
    <w:rsid w:val="005E1DCF"/>
    <w:rsid w:val="005E2416"/>
    <w:rsid w:val="005E2597"/>
    <w:rsid w:val="005E3780"/>
    <w:rsid w:val="005E41BC"/>
    <w:rsid w:val="005E58B6"/>
    <w:rsid w:val="005E5E53"/>
    <w:rsid w:val="005F2248"/>
    <w:rsid w:val="005F397A"/>
    <w:rsid w:val="005F7470"/>
    <w:rsid w:val="00600949"/>
    <w:rsid w:val="00601A24"/>
    <w:rsid w:val="00602755"/>
    <w:rsid w:val="00603FF0"/>
    <w:rsid w:val="006059D3"/>
    <w:rsid w:val="00605C80"/>
    <w:rsid w:val="00612326"/>
    <w:rsid w:val="00612A3B"/>
    <w:rsid w:val="00613179"/>
    <w:rsid w:val="0061794F"/>
    <w:rsid w:val="00620504"/>
    <w:rsid w:val="00622880"/>
    <w:rsid w:val="00622A39"/>
    <w:rsid w:val="00623444"/>
    <w:rsid w:val="00623E88"/>
    <w:rsid w:val="00625DC2"/>
    <w:rsid w:val="00626959"/>
    <w:rsid w:val="00627541"/>
    <w:rsid w:val="00630634"/>
    <w:rsid w:val="006308E6"/>
    <w:rsid w:val="00630C8B"/>
    <w:rsid w:val="00630D6D"/>
    <w:rsid w:val="006316EE"/>
    <w:rsid w:val="0063254A"/>
    <w:rsid w:val="00633B62"/>
    <w:rsid w:val="0063587C"/>
    <w:rsid w:val="00635DDB"/>
    <w:rsid w:val="00636EBC"/>
    <w:rsid w:val="00637CBE"/>
    <w:rsid w:val="00643A66"/>
    <w:rsid w:val="0064516A"/>
    <w:rsid w:val="0064614F"/>
    <w:rsid w:val="0064709B"/>
    <w:rsid w:val="006511C0"/>
    <w:rsid w:val="00655C2B"/>
    <w:rsid w:val="00655EAC"/>
    <w:rsid w:val="006564A6"/>
    <w:rsid w:val="00660E42"/>
    <w:rsid w:val="0066115F"/>
    <w:rsid w:val="0066313E"/>
    <w:rsid w:val="006631C0"/>
    <w:rsid w:val="00663221"/>
    <w:rsid w:val="0066466D"/>
    <w:rsid w:val="006653C7"/>
    <w:rsid w:val="006653DC"/>
    <w:rsid w:val="0066680E"/>
    <w:rsid w:val="00666862"/>
    <w:rsid w:val="006703ED"/>
    <w:rsid w:val="00672E8B"/>
    <w:rsid w:val="00677C8B"/>
    <w:rsid w:val="00682311"/>
    <w:rsid w:val="00682921"/>
    <w:rsid w:val="00682927"/>
    <w:rsid w:val="00682EEC"/>
    <w:rsid w:val="006832D8"/>
    <w:rsid w:val="00686A1C"/>
    <w:rsid w:val="006906C9"/>
    <w:rsid w:val="00690C0A"/>
    <w:rsid w:val="00691E72"/>
    <w:rsid w:val="0069350E"/>
    <w:rsid w:val="0069394F"/>
    <w:rsid w:val="00693ACB"/>
    <w:rsid w:val="00695207"/>
    <w:rsid w:val="0069686B"/>
    <w:rsid w:val="00697561"/>
    <w:rsid w:val="00697D34"/>
    <w:rsid w:val="006A15BA"/>
    <w:rsid w:val="006A2413"/>
    <w:rsid w:val="006A56A8"/>
    <w:rsid w:val="006A7470"/>
    <w:rsid w:val="006B10F0"/>
    <w:rsid w:val="006B1EB7"/>
    <w:rsid w:val="006B2149"/>
    <w:rsid w:val="006B2F6B"/>
    <w:rsid w:val="006B5BDB"/>
    <w:rsid w:val="006B6133"/>
    <w:rsid w:val="006C1681"/>
    <w:rsid w:val="006C1CA1"/>
    <w:rsid w:val="006C1D3C"/>
    <w:rsid w:val="006C39F6"/>
    <w:rsid w:val="006C4C28"/>
    <w:rsid w:val="006D105F"/>
    <w:rsid w:val="006D245B"/>
    <w:rsid w:val="006D2B26"/>
    <w:rsid w:val="006D2D29"/>
    <w:rsid w:val="006D3895"/>
    <w:rsid w:val="006D3DA6"/>
    <w:rsid w:val="006D6D31"/>
    <w:rsid w:val="006E5252"/>
    <w:rsid w:val="006E5481"/>
    <w:rsid w:val="006E7501"/>
    <w:rsid w:val="006E7C3B"/>
    <w:rsid w:val="006E7E8C"/>
    <w:rsid w:val="006F1D99"/>
    <w:rsid w:val="006F202A"/>
    <w:rsid w:val="006F341E"/>
    <w:rsid w:val="006F3B47"/>
    <w:rsid w:val="006F55DC"/>
    <w:rsid w:val="006F7109"/>
    <w:rsid w:val="00700CB3"/>
    <w:rsid w:val="0070309B"/>
    <w:rsid w:val="007055B7"/>
    <w:rsid w:val="00710136"/>
    <w:rsid w:val="00710F26"/>
    <w:rsid w:val="00711800"/>
    <w:rsid w:val="00713DB2"/>
    <w:rsid w:val="0071614F"/>
    <w:rsid w:val="007169E9"/>
    <w:rsid w:val="00720F26"/>
    <w:rsid w:val="00722BDC"/>
    <w:rsid w:val="00722C62"/>
    <w:rsid w:val="0072548A"/>
    <w:rsid w:val="00730340"/>
    <w:rsid w:val="00731C28"/>
    <w:rsid w:val="00732D75"/>
    <w:rsid w:val="007336BF"/>
    <w:rsid w:val="00733EDB"/>
    <w:rsid w:val="00734062"/>
    <w:rsid w:val="00736BE1"/>
    <w:rsid w:val="00740FE7"/>
    <w:rsid w:val="00744553"/>
    <w:rsid w:val="00751A3E"/>
    <w:rsid w:val="00751F04"/>
    <w:rsid w:val="00752026"/>
    <w:rsid w:val="00752E69"/>
    <w:rsid w:val="00753B95"/>
    <w:rsid w:val="007540D3"/>
    <w:rsid w:val="007557D9"/>
    <w:rsid w:val="00755BEA"/>
    <w:rsid w:val="00755FFC"/>
    <w:rsid w:val="00761597"/>
    <w:rsid w:val="007701DB"/>
    <w:rsid w:val="00770864"/>
    <w:rsid w:val="00773337"/>
    <w:rsid w:val="00776C33"/>
    <w:rsid w:val="0077790F"/>
    <w:rsid w:val="0078169E"/>
    <w:rsid w:val="007837BD"/>
    <w:rsid w:val="00785E90"/>
    <w:rsid w:val="00785F7F"/>
    <w:rsid w:val="00786BFD"/>
    <w:rsid w:val="00791341"/>
    <w:rsid w:val="007953A4"/>
    <w:rsid w:val="007960BF"/>
    <w:rsid w:val="007978A9"/>
    <w:rsid w:val="007A023D"/>
    <w:rsid w:val="007A04E9"/>
    <w:rsid w:val="007A15F5"/>
    <w:rsid w:val="007A20AA"/>
    <w:rsid w:val="007A3443"/>
    <w:rsid w:val="007A4B47"/>
    <w:rsid w:val="007A53E5"/>
    <w:rsid w:val="007A578C"/>
    <w:rsid w:val="007A5A88"/>
    <w:rsid w:val="007A5FDD"/>
    <w:rsid w:val="007B0C31"/>
    <w:rsid w:val="007B0F71"/>
    <w:rsid w:val="007B7A67"/>
    <w:rsid w:val="007C7FE1"/>
    <w:rsid w:val="007D0C00"/>
    <w:rsid w:val="007D16FE"/>
    <w:rsid w:val="007D3208"/>
    <w:rsid w:val="007E35F4"/>
    <w:rsid w:val="007E4450"/>
    <w:rsid w:val="007E52C9"/>
    <w:rsid w:val="007E6EF3"/>
    <w:rsid w:val="007F0A93"/>
    <w:rsid w:val="007F23E8"/>
    <w:rsid w:val="007F4539"/>
    <w:rsid w:val="007F5312"/>
    <w:rsid w:val="007F62F1"/>
    <w:rsid w:val="007F6821"/>
    <w:rsid w:val="007F6F81"/>
    <w:rsid w:val="00800F74"/>
    <w:rsid w:val="00802892"/>
    <w:rsid w:val="00802B67"/>
    <w:rsid w:val="00806502"/>
    <w:rsid w:val="008104F7"/>
    <w:rsid w:val="00812FDD"/>
    <w:rsid w:val="008169A7"/>
    <w:rsid w:val="00824ACB"/>
    <w:rsid w:val="008263A8"/>
    <w:rsid w:val="00826686"/>
    <w:rsid w:val="0082694E"/>
    <w:rsid w:val="00827FC2"/>
    <w:rsid w:val="00830B8E"/>
    <w:rsid w:val="008311E6"/>
    <w:rsid w:val="00831F41"/>
    <w:rsid w:val="008321FD"/>
    <w:rsid w:val="0083451A"/>
    <w:rsid w:val="00834B67"/>
    <w:rsid w:val="00834FD5"/>
    <w:rsid w:val="008376C1"/>
    <w:rsid w:val="00837928"/>
    <w:rsid w:val="00837AEF"/>
    <w:rsid w:val="008406FC"/>
    <w:rsid w:val="0084074D"/>
    <w:rsid w:val="00840B0C"/>
    <w:rsid w:val="00841116"/>
    <w:rsid w:val="008423DE"/>
    <w:rsid w:val="0084628E"/>
    <w:rsid w:val="00850248"/>
    <w:rsid w:val="0085235E"/>
    <w:rsid w:val="00854698"/>
    <w:rsid w:val="008553B5"/>
    <w:rsid w:val="00857259"/>
    <w:rsid w:val="00860012"/>
    <w:rsid w:val="00860DDD"/>
    <w:rsid w:val="0086186C"/>
    <w:rsid w:val="0086209A"/>
    <w:rsid w:val="00864646"/>
    <w:rsid w:val="008648F5"/>
    <w:rsid w:val="008649CC"/>
    <w:rsid w:val="00865379"/>
    <w:rsid w:val="008657DE"/>
    <w:rsid w:val="008657FD"/>
    <w:rsid w:val="00865BE9"/>
    <w:rsid w:val="00865CBB"/>
    <w:rsid w:val="00866CF4"/>
    <w:rsid w:val="0087035D"/>
    <w:rsid w:val="00870FA4"/>
    <w:rsid w:val="00875483"/>
    <w:rsid w:val="008775F8"/>
    <w:rsid w:val="008813A9"/>
    <w:rsid w:val="008815A2"/>
    <w:rsid w:val="0088786D"/>
    <w:rsid w:val="00887C6D"/>
    <w:rsid w:val="00887EFE"/>
    <w:rsid w:val="00892467"/>
    <w:rsid w:val="00892B92"/>
    <w:rsid w:val="00895E2F"/>
    <w:rsid w:val="00896E42"/>
    <w:rsid w:val="008A038F"/>
    <w:rsid w:val="008A0DE0"/>
    <w:rsid w:val="008A18D1"/>
    <w:rsid w:val="008A4D02"/>
    <w:rsid w:val="008A61C4"/>
    <w:rsid w:val="008A75B8"/>
    <w:rsid w:val="008B18B7"/>
    <w:rsid w:val="008B1ECC"/>
    <w:rsid w:val="008B29B0"/>
    <w:rsid w:val="008B3A33"/>
    <w:rsid w:val="008B51B8"/>
    <w:rsid w:val="008B58D2"/>
    <w:rsid w:val="008B69B7"/>
    <w:rsid w:val="008C29E2"/>
    <w:rsid w:val="008C4EA9"/>
    <w:rsid w:val="008D17E2"/>
    <w:rsid w:val="008D265F"/>
    <w:rsid w:val="008D2EE6"/>
    <w:rsid w:val="008D347F"/>
    <w:rsid w:val="008E1054"/>
    <w:rsid w:val="008E2386"/>
    <w:rsid w:val="008E46A3"/>
    <w:rsid w:val="008E5FE9"/>
    <w:rsid w:val="008E6808"/>
    <w:rsid w:val="008E69FA"/>
    <w:rsid w:val="008F152E"/>
    <w:rsid w:val="008F565E"/>
    <w:rsid w:val="008F5CD0"/>
    <w:rsid w:val="008F63CF"/>
    <w:rsid w:val="008F6ABB"/>
    <w:rsid w:val="008F7E5D"/>
    <w:rsid w:val="00900443"/>
    <w:rsid w:val="009015E2"/>
    <w:rsid w:val="009054F7"/>
    <w:rsid w:val="00905C1B"/>
    <w:rsid w:val="00910DF0"/>
    <w:rsid w:val="0091339A"/>
    <w:rsid w:val="00914570"/>
    <w:rsid w:val="00917535"/>
    <w:rsid w:val="00920B78"/>
    <w:rsid w:val="009213A7"/>
    <w:rsid w:val="00923CEF"/>
    <w:rsid w:val="00923F1E"/>
    <w:rsid w:val="00925075"/>
    <w:rsid w:val="00925EC5"/>
    <w:rsid w:val="0093440D"/>
    <w:rsid w:val="00937E2F"/>
    <w:rsid w:val="009423C2"/>
    <w:rsid w:val="00944118"/>
    <w:rsid w:val="0094717C"/>
    <w:rsid w:val="00951E85"/>
    <w:rsid w:val="00952D83"/>
    <w:rsid w:val="009543DE"/>
    <w:rsid w:val="009551B4"/>
    <w:rsid w:val="00955FB6"/>
    <w:rsid w:val="00957BC8"/>
    <w:rsid w:val="00957E3E"/>
    <w:rsid w:val="00960061"/>
    <w:rsid w:val="009605B3"/>
    <w:rsid w:val="00963E95"/>
    <w:rsid w:val="00965265"/>
    <w:rsid w:val="0096599E"/>
    <w:rsid w:val="009669B9"/>
    <w:rsid w:val="00967472"/>
    <w:rsid w:val="00973910"/>
    <w:rsid w:val="00975768"/>
    <w:rsid w:val="00977DD5"/>
    <w:rsid w:val="00980498"/>
    <w:rsid w:val="00982428"/>
    <w:rsid w:val="009824A8"/>
    <w:rsid w:val="009847BA"/>
    <w:rsid w:val="00984B68"/>
    <w:rsid w:val="009871BE"/>
    <w:rsid w:val="00990410"/>
    <w:rsid w:val="00991C5C"/>
    <w:rsid w:val="0099448B"/>
    <w:rsid w:val="00995206"/>
    <w:rsid w:val="00996B12"/>
    <w:rsid w:val="009A008F"/>
    <w:rsid w:val="009A036F"/>
    <w:rsid w:val="009A3D46"/>
    <w:rsid w:val="009A67B2"/>
    <w:rsid w:val="009B19CA"/>
    <w:rsid w:val="009B4F26"/>
    <w:rsid w:val="009B50D9"/>
    <w:rsid w:val="009B6C68"/>
    <w:rsid w:val="009C034E"/>
    <w:rsid w:val="009C0A65"/>
    <w:rsid w:val="009D01FA"/>
    <w:rsid w:val="009D1234"/>
    <w:rsid w:val="009D123A"/>
    <w:rsid w:val="009D7023"/>
    <w:rsid w:val="009D7D53"/>
    <w:rsid w:val="009E1B84"/>
    <w:rsid w:val="009E4056"/>
    <w:rsid w:val="009E5878"/>
    <w:rsid w:val="009E5B18"/>
    <w:rsid w:val="009E65F2"/>
    <w:rsid w:val="009E6734"/>
    <w:rsid w:val="009E7D5E"/>
    <w:rsid w:val="009F0ADC"/>
    <w:rsid w:val="009F2F5F"/>
    <w:rsid w:val="009F342E"/>
    <w:rsid w:val="009F3D1F"/>
    <w:rsid w:val="009F3ED5"/>
    <w:rsid w:val="009F449C"/>
    <w:rsid w:val="009F4DC0"/>
    <w:rsid w:val="009F59C8"/>
    <w:rsid w:val="009F6819"/>
    <w:rsid w:val="009F7D43"/>
    <w:rsid w:val="009F7EDA"/>
    <w:rsid w:val="00A01E9F"/>
    <w:rsid w:val="00A0235E"/>
    <w:rsid w:val="00A11A6A"/>
    <w:rsid w:val="00A12077"/>
    <w:rsid w:val="00A15FEB"/>
    <w:rsid w:val="00A17230"/>
    <w:rsid w:val="00A200F0"/>
    <w:rsid w:val="00A209D5"/>
    <w:rsid w:val="00A215EA"/>
    <w:rsid w:val="00A22927"/>
    <w:rsid w:val="00A23601"/>
    <w:rsid w:val="00A240FE"/>
    <w:rsid w:val="00A25786"/>
    <w:rsid w:val="00A30DD3"/>
    <w:rsid w:val="00A352F5"/>
    <w:rsid w:val="00A357FC"/>
    <w:rsid w:val="00A401D9"/>
    <w:rsid w:val="00A40EAC"/>
    <w:rsid w:val="00A4417F"/>
    <w:rsid w:val="00A45938"/>
    <w:rsid w:val="00A47249"/>
    <w:rsid w:val="00A47786"/>
    <w:rsid w:val="00A47E07"/>
    <w:rsid w:val="00A500F7"/>
    <w:rsid w:val="00A52376"/>
    <w:rsid w:val="00A552ED"/>
    <w:rsid w:val="00A556E2"/>
    <w:rsid w:val="00A56825"/>
    <w:rsid w:val="00A60B89"/>
    <w:rsid w:val="00A6184A"/>
    <w:rsid w:val="00A622C1"/>
    <w:rsid w:val="00A63051"/>
    <w:rsid w:val="00A648CE"/>
    <w:rsid w:val="00A65690"/>
    <w:rsid w:val="00A716AE"/>
    <w:rsid w:val="00A71BE7"/>
    <w:rsid w:val="00A72A2F"/>
    <w:rsid w:val="00A74CD1"/>
    <w:rsid w:val="00A7797A"/>
    <w:rsid w:val="00A8120C"/>
    <w:rsid w:val="00A82611"/>
    <w:rsid w:val="00A841A8"/>
    <w:rsid w:val="00A92C31"/>
    <w:rsid w:val="00A94981"/>
    <w:rsid w:val="00A95532"/>
    <w:rsid w:val="00A958BE"/>
    <w:rsid w:val="00AA1A08"/>
    <w:rsid w:val="00AA6BC7"/>
    <w:rsid w:val="00AA788F"/>
    <w:rsid w:val="00AA79BF"/>
    <w:rsid w:val="00AB0D9C"/>
    <w:rsid w:val="00AB29DF"/>
    <w:rsid w:val="00AB3DAC"/>
    <w:rsid w:val="00AB46D3"/>
    <w:rsid w:val="00AB6B07"/>
    <w:rsid w:val="00AB6C46"/>
    <w:rsid w:val="00AB7671"/>
    <w:rsid w:val="00AC11BD"/>
    <w:rsid w:val="00AC4EA4"/>
    <w:rsid w:val="00AC67FD"/>
    <w:rsid w:val="00AD0F2A"/>
    <w:rsid w:val="00AD0F32"/>
    <w:rsid w:val="00AD31F0"/>
    <w:rsid w:val="00AD3F6C"/>
    <w:rsid w:val="00AD43F2"/>
    <w:rsid w:val="00AD57EE"/>
    <w:rsid w:val="00AE066E"/>
    <w:rsid w:val="00AE1AD1"/>
    <w:rsid w:val="00AE21EF"/>
    <w:rsid w:val="00AE48A2"/>
    <w:rsid w:val="00AE78DA"/>
    <w:rsid w:val="00AF32C3"/>
    <w:rsid w:val="00AF3891"/>
    <w:rsid w:val="00AF3BA7"/>
    <w:rsid w:val="00AF4BB3"/>
    <w:rsid w:val="00AF5108"/>
    <w:rsid w:val="00AF5733"/>
    <w:rsid w:val="00AF60EE"/>
    <w:rsid w:val="00AF7135"/>
    <w:rsid w:val="00AF7761"/>
    <w:rsid w:val="00B002E1"/>
    <w:rsid w:val="00B017FE"/>
    <w:rsid w:val="00B02190"/>
    <w:rsid w:val="00B022E6"/>
    <w:rsid w:val="00B03E6B"/>
    <w:rsid w:val="00B04219"/>
    <w:rsid w:val="00B04C32"/>
    <w:rsid w:val="00B05DE1"/>
    <w:rsid w:val="00B07DF6"/>
    <w:rsid w:val="00B10174"/>
    <w:rsid w:val="00B11593"/>
    <w:rsid w:val="00B1211C"/>
    <w:rsid w:val="00B126CD"/>
    <w:rsid w:val="00B1740E"/>
    <w:rsid w:val="00B17429"/>
    <w:rsid w:val="00B22B01"/>
    <w:rsid w:val="00B32764"/>
    <w:rsid w:val="00B33546"/>
    <w:rsid w:val="00B36C6A"/>
    <w:rsid w:val="00B41FC4"/>
    <w:rsid w:val="00B43E6B"/>
    <w:rsid w:val="00B479E5"/>
    <w:rsid w:val="00B5108A"/>
    <w:rsid w:val="00B5115A"/>
    <w:rsid w:val="00B540DB"/>
    <w:rsid w:val="00B60915"/>
    <w:rsid w:val="00B61F19"/>
    <w:rsid w:val="00B66B60"/>
    <w:rsid w:val="00B676B4"/>
    <w:rsid w:val="00B714F5"/>
    <w:rsid w:val="00B72C70"/>
    <w:rsid w:val="00B73F9E"/>
    <w:rsid w:val="00B76090"/>
    <w:rsid w:val="00B815DE"/>
    <w:rsid w:val="00B82F89"/>
    <w:rsid w:val="00B84145"/>
    <w:rsid w:val="00B8536B"/>
    <w:rsid w:val="00B8557A"/>
    <w:rsid w:val="00B85AD6"/>
    <w:rsid w:val="00B87E60"/>
    <w:rsid w:val="00B90FB0"/>
    <w:rsid w:val="00B918A4"/>
    <w:rsid w:val="00B91A7C"/>
    <w:rsid w:val="00B920EA"/>
    <w:rsid w:val="00B9446E"/>
    <w:rsid w:val="00B94CC3"/>
    <w:rsid w:val="00B9580A"/>
    <w:rsid w:val="00BA47C8"/>
    <w:rsid w:val="00BA5503"/>
    <w:rsid w:val="00BA6F21"/>
    <w:rsid w:val="00BB0385"/>
    <w:rsid w:val="00BB050E"/>
    <w:rsid w:val="00BB1F8E"/>
    <w:rsid w:val="00BB2240"/>
    <w:rsid w:val="00BB33F1"/>
    <w:rsid w:val="00BB43C2"/>
    <w:rsid w:val="00BB45B4"/>
    <w:rsid w:val="00BB47DD"/>
    <w:rsid w:val="00BB76B2"/>
    <w:rsid w:val="00BC0704"/>
    <w:rsid w:val="00BC085F"/>
    <w:rsid w:val="00BC1CBD"/>
    <w:rsid w:val="00BC1F7D"/>
    <w:rsid w:val="00BC3E5C"/>
    <w:rsid w:val="00BC64C7"/>
    <w:rsid w:val="00BD171A"/>
    <w:rsid w:val="00BD35B6"/>
    <w:rsid w:val="00BD4433"/>
    <w:rsid w:val="00BD50D8"/>
    <w:rsid w:val="00BD6CD0"/>
    <w:rsid w:val="00BE16CB"/>
    <w:rsid w:val="00BE2A33"/>
    <w:rsid w:val="00BE3909"/>
    <w:rsid w:val="00BE50FB"/>
    <w:rsid w:val="00BE5354"/>
    <w:rsid w:val="00BE79CB"/>
    <w:rsid w:val="00BF1BDB"/>
    <w:rsid w:val="00BF40FC"/>
    <w:rsid w:val="00BF5F8A"/>
    <w:rsid w:val="00C03F78"/>
    <w:rsid w:val="00C04A19"/>
    <w:rsid w:val="00C04AB1"/>
    <w:rsid w:val="00C05A90"/>
    <w:rsid w:val="00C119C9"/>
    <w:rsid w:val="00C16238"/>
    <w:rsid w:val="00C17E6B"/>
    <w:rsid w:val="00C21DE0"/>
    <w:rsid w:val="00C230E1"/>
    <w:rsid w:val="00C26880"/>
    <w:rsid w:val="00C3017B"/>
    <w:rsid w:val="00C32F8D"/>
    <w:rsid w:val="00C3468F"/>
    <w:rsid w:val="00C34CCD"/>
    <w:rsid w:val="00C34ED9"/>
    <w:rsid w:val="00C35932"/>
    <w:rsid w:val="00C407E5"/>
    <w:rsid w:val="00C411E8"/>
    <w:rsid w:val="00C440D9"/>
    <w:rsid w:val="00C45A3D"/>
    <w:rsid w:val="00C527EC"/>
    <w:rsid w:val="00C5338E"/>
    <w:rsid w:val="00C53C74"/>
    <w:rsid w:val="00C56C3A"/>
    <w:rsid w:val="00C615D9"/>
    <w:rsid w:val="00C63CB6"/>
    <w:rsid w:val="00C65B15"/>
    <w:rsid w:val="00C66174"/>
    <w:rsid w:val="00C664AF"/>
    <w:rsid w:val="00C6694B"/>
    <w:rsid w:val="00C676D0"/>
    <w:rsid w:val="00C67955"/>
    <w:rsid w:val="00C70AD3"/>
    <w:rsid w:val="00C72133"/>
    <w:rsid w:val="00C741F5"/>
    <w:rsid w:val="00C74983"/>
    <w:rsid w:val="00C7708A"/>
    <w:rsid w:val="00C841C6"/>
    <w:rsid w:val="00C87627"/>
    <w:rsid w:val="00C87C97"/>
    <w:rsid w:val="00C9089D"/>
    <w:rsid w:val="00C9157E"/>
    <w:rsid w:val="00C93BC8"/>
    <w:rsid w:val="00C948C0"/>
    <w:rsid w:val="00C94D73"/>
    <w:rsid w:val="00C95E38"/>
    <w:rsid w:val="00CA32F0"/>
    <w:rsid w:val="00CA3616"/>
    <w:rsid w:val="00CB3AB0"/>
    <w:rsid w:val="00CC2857"/>
    <w:rsid w:val="00CC2D9A"/>
    <w:rsid w:val="00CC38DD"/>
    <w:rsid w:val="00CC44B3"/>
    <w:rsid w:val="00CC543E"/>
    <w:rsid w:val="00CC670B"/>
    <w:rsid w:val="00CC68F9"/>
    <w:rsid w:val="00CC73A1"/>
    <w:rsid w:val="00CD08AD"/>
    <w:rsid w:val="00CD08F0"/>
    <w:rsid w:val="00CD129F"/>
    <w:rsid w:val="00CD28B2"/>
    <w:rsid w:val="00CD2FA6"/>
    <w:rsid w:val="00CD4E8B"/>
    <w:rsid w:val="00CD61F1"/>
    <w:rsid w:val="00CD77DE"/>
    <w:rsid w:val="00CD7E28"/>
    <w:rsid w:val="00CE05FF"/>
    <w:rsid w:val="00CE2753"/>
    <w:rsid w:val="00CF2909"/>
    <w:rsid w:val="00CF2CB1"/>
    <w:rsid w:val="00CF3917"/>
    <w:rsid w:val="00CF487D"/>
    <w:rsid w:val="00CF581D"/>
    <w:rsid w:val="00D01176"/>
    <w:rsid w:val="00D01198"/>
    <w:rsid w:val="00D0134D"/>
    <w:rsid w:val="00D02A3A"/>
    <w:rsid w:val="00D044E6"/>
    <w:rsid w:val="00D0525A"/>
    <w:rsid w:val="00D060B3"/>
    <w:rsid w:val="00D07608"/>
    <w:rsid w:val="00D12EAD"/>
    <w:rsid w:val="00D132B9"/>
    <w:rsid w:val="00D14AB3"/>
    <w:rsid w:val="00D15716"/>
    <w:rsid w:val="00D16482"/>
    <w:rsid w:val="00D167B6"/>
    <w:rsid w:val="00D206C2"/>
    <w:rsid w:val="00D21774"/>
    <w:rsid w:val="00D22D26"/>
    <w:rsid w:val="00D2316A"/>
    <w:rsid w:val="00D244A9"/>
    <w:rsid w:val="00D2617D"/>
    <w:rsid w:val="00D273FB"/>
    <w:rsid w:val="00D2759D"/>
    <w:rsid w:val="00D315D7"/>
    <w:rsid w:val="00D333AF"/>
    <w:rsid w:val="00D34083"/>
    <w:rsid w:val="00D35343"/>
    <w:rsid w:val="00D3579C"/>
    <w:rsid w:val="00D35915"/>
    <w:rsid w:val="00D404DF"/>
    <w:rsid w:val="00D40DD0"/>
    <w:rsid w:val="00D41F16"/>
    <w:rsid w:val="00D43C6C"/>
    <w:rsid w:val="00D44ABE"/>
    <w:rsid w:val="00D46210"/>
    <w:rsid w:val="00D46826"/>
    <w:rsid w:val="00D50FFB"/>
    <w:rsid w:val="00D52055"/>
    <w:rsid w:val="00D5273C"/>
    <w:rsid w:val="00D5278B"/>
    <w:rsid w:val="00D52979"/>
    <w:rsid w:val="00D549A4"/>
    <w:rsid w:val="00D55679"/>
    <w:rsid w:val="00D60EA5"/>
    <w:rsid w:val="00D63B20"/>
    <w:rsid w:val="00D727C6"/>
    <w:rsid w:val="00D73C76"/>
    <w:rsid w:val="00D73ECF"/>
    <w:rsid w:val="00D73F95"/>
    <w:rsid w:val="00D749D5"/>
    <w:rsid w:val="00D751EB"/>
    <w:rsid w:val="00D76DCD"/>
    <w:rsid w:val="00D76F90"/>
    <w:rsid w:val="00D77E59"/>
    <w:rsid w:val="00D77EEB"/>
    <w:rsid w:val="00D8142C"/>
    <w:rsid w:val="00D8152F"/>
    <w:rsid w:val="00D83D6A"/>
    <w:rsid w:val="00D8433A"/>
    <w:rsid w:val="00D84986"/>
    <w:rsid w:val="00D84B9E"/>
    <w:rsid w:val="00D85E6A"/>
    <w:rsid w:val="00D85EF0"/>
    <w:rsid w:val="00D9448D"/>
    <w:rsid w:val="00D96AF6"/>
    <w:rsid w:val="00DA047E"/>
    <w:rsid w:val="00DA16FC"/>
    <w:rsid w:val="00DA2024"/>
    <w:rsid w:val="00DA39BF"/>
    <w:rsid w:val="00DA4E4F"/>
    <w:rsid w:val="00DA5CE2"/>
    <w:rsid w:val="00DA6661"/>
    <w:rsid w:val="00DB0DB4"/>
    <w:rsid w:val="00DB317D"/>
    <w:rsid w:val="00DB4259"/>
    <w:rsid w:val="00DC2C49"/>
    <w:rsid w:val="00DC3B20"/>
    <w:rsid w:val="00DC53D9"/>
    <w:rsid w:val="00DC5672"/>
    <w:rsid w:val="00DC7E76"/>
    <w:rsid w:val="00DD18BE"/>
    <w:rsid w:val="00DD26A7"/>
    <w:rsid w:val="00DD3F8B"/>
    <w:rsid w:val="00DD4345"/>
    <w:rsid w:val="00DD50E2"/>
    <w:rsid w:val="00DD5F28"/>
    <w:rsid w:val="00DD61CE"/>
    <w:rsid w:val="00DE0EAB"/>
    <w:rsid w:val="00DE1034"/>
    <w:rsid w:val="00DE160B"/>
    <w:rsid w:val="00DE2BFC"/>
    <w:rsid w:val="00DE3269"/>
    <w:rsid w:val="00DE4D97"/>
    <w:rsid w:val="00DE5BD7"/>
    <w:rsid w:val="00DE6E15"/>
    <w:rsid w:val="00DF0213"/>
    <w:rsid w:val="00DF06D6"/>
    <w:rsid w:val="00DF0C39"/>
    <w:rsid w:val="00DF2DFB"/>
    <w:rsid w:val="00DF559B"/>
    <w:rsid w:val="00DF61B9"/>
    <w:rsid w:val="00DF639F"/>
    <w:rsid w:val="00DF6ED9"/>
    <w:rsid w:val="00E00320"/>
    <w:rsid w:val="00E00CCD"/>
    <w:rsid w:val="00E019FF"/>
    <w:rsid w:val="00E02E7E"/>
    <w:rsid w:val="00E06096"/>
    <w:rsid w:val="00E06DFC"/>
    <w:rsid w:val="00E07A36"/>
    <w:rsid w:val="00E10792"/>
    <w:rsid w:val="00E11282"/>
    <w:rsid w:val="00E12C1E"/>
    <w:rsid w:val="00E13471"/>
    <w:rsid w:val="00E21559"/>
    <w:rsid w:val="00E217E9"/>
    <w:rsid w:val="00E21D17"/>
    <w:rsid w:val="00E21DDE"/>
    <w:rsid w:val="00E269BA"/>
    <w:rsid w:val="00E2737B"/>
    <w:rsid w:val="00E31C64"/>
    <w:rsid w:val="00E31CD9"/>
    <w:rsid w:val="00E34374"/>
    <w:rsid w:val="00E36FF6"/>
    <w:rsid w:val="00E37C02"/>
    <w:rsid w:val="00E40A20"/>
    <w:rsid w:val="00E413AA"/>
    <w:rsid w:val="00E413F3"/>
    <w:rsid w:val="00E42126"/>
    <w:rsid w:val="00E45506"/>
    <w:rsid w:val="00E46028"/>
    <w:rsid w:val="00E5308D"/>
    <w:rsid w:val="00E60933"/>
    <w:rsid w:val="00E63190"/>
    <w:rsid w:val="00E64415"/>
    <w:rsid w:val="00E65002"/>
    <w:rsid w:val="00E651D8"/>
    <w:rsid w:val="00E6595D"/>
    <w:rsid w:val="00E66F52"/>
    <w:rsid w:val="00E714FD"/>
    <w:rsid w:val="00E71861"/>
    <w:rsid w:val="00E719BD"/>
    <w:rsid w:val="00E73E1C"/>
    <w:rsid w:val="00E74BBF"/>
    <w:rsid w:val="00E76AB5"/>
    <w:rsid w:val="00E76DD8"/>
    <w:rsid w:val="00E77079"/>
    <w:rsid w:val="00E80015"/>
    <w:rsid w:val="00E807A2"/>
    <w:rsid w:val="00E820CE"/>
    <w:rsid w:val="00E838EB"/>
    <w:rsid w:val="00E83A1B"/>
    <w:rsid w:val="00E85111"/>
    <w:rsid w:val="00E85735"/>
    <w:rsid w:val="00E90F6B"/>
    <w:rsid w:val="00E95E06"/>
    <w:rsid w:val="00E9750A"/>
    <w:rsid w:val="00EA1E50"/>
    <w:rsid w:val="00EA2A45"/>
    <w:rsid w:val="00EA2F4C"/>
    <w:rsid w:val="00EA3A86"/>
    <w:rsid w:val="00EA5CED"/>
    <w:rsid w:val="00EA5DC1"/>
    <w:rsid w:val="00EA7184"/>
    <w:rsid w:val="00EB01F8"/>
    <w:rsid w:val="00EB2108"/>
    <w:rsid w:val="00EB2A73"/>
    <w:rsid w:val="00EB5333"/>
    <w:rsid w:val="00EC2118"/>
    <w:rsid w:val="00EC6BE7"/>
    <w:rsid w:val="00EE0487"/>
    <w:rsid w:val="00EE1148"/>
    <w:rsid w:val="00EE1E1A"/>
    <w:rsid w:val="00EE24BE"/>
    <w:rsid w:val="00EE4FF1"/>
    <w:rsid w:val="00EE616A"/>
    <w:rsid w:val="00EE698B"/>
    <w:rsid w:val="00EE6E3C"/>
    <w:rsid w:val="00EF1506"/>
    <w:rsid w:val="00EF195B"/>
    <w:rsid w:val="00EF5151"/>
    <w:rsid w:val="00EF7010"/>
    <w:rsid w:val="00F03006"/>
    <w:rsid w:val="00F0385A"/>
    <w:rsid w:val="00F05477"/>
    <w:rsid w:val="00F05980"/>
    <w:rsid w:val="00F06219"/>
    <w:rsid w:val="00F07900"/>
    <w:rsid w:val="00F07962"/>
    <w:rsid w:val="00F10A4E"/>
    <w:rsid w:val="00F11ADF"/>
    <w:rsid w:val="00F14503"/>
    <w:rsid w:val="00F1669D"/>
    <w:rsid w:val="00F1704B"/>
    <w:rsid w:val="00F17F82"/>
    <w:rsid w:val="00F20AB2"/>
    <w:rsid w:val="00F24B10"/>
    <w:rsid w:val="00F269DE"/>
    <w:rsid w:val="00F276D5"/>
    <w:rsid w:val="00F31E62"/>
    <w:rsid w:val="00F32A3C"/>
    <w:rsid w:val="00F41C00"/>
    <w:rsid w:val="00F471A7"/>
    <w:rsid w:val="00F5121E"/>
    <w:rsid w:val="00F52199"/>
    <w:rsid w:val="00F52769"/>
    <w:rsid w:val="00F536E7"/>
    <w:rsid w:val="00F538D7"/>
    <w:rsid w:val="00F53FA3"/>
    <w:rsid w:val="00F56994"/>
    <w:rsid w:val="00F56C36"/>
    <w:rsid w:val="00F576BA"/>
    <w:rsid w:val="00F6130E"/>
    <w:rsid w:val="00F650DE"/>
    <w:rsid w:val="00F66D73"/>
    <w:rsid w:val="00F66D94"/>
    <w:rsid w:val="00F67CC1"/>
    <w:rsid w:val="00F705A1"/>
    <w:rsid w:val="00F7413E"/>
    <w:rsid w:val="00F76D38"/>
    <w:rsid w:val="00F76FE7"/>
    <w:rsid w:val="00F80CF8"/>
    <w:rsid w:val="00F83AE4"/>
    <w:rsid w:val="00F92094"/>
    <w:rsid w:val="00F92E0A"/>
    <w:rsid w:val="00F9377C"/>
    <w:rsid w:val="00F9606E"/>
    <w:rsid w:val="00F964C1"/>
    <w:rsid w:val="00F97A4A"/>
    <w:rsid w:val="00FA288E"/>
    <w:rsid w:val="00FA3898"/>
    <w:rsid w:val="00FA558C"/>
    <w:rsid w:val="00FA6A93"/>
    <w:rsid w:val="00FB1BFE"/>
    <w:rsid w:val="00FB2F35"/>
    <w:rsid w:val="00FB37BD"/>
    <w:rsid w:val="00FB37EE"/>
    <w:rsid w:val="00FB4888"/>
    <w:rsid w:val="00FB5A57"/>
    <w:rsid w:val="00FB7B4E"/>
    <w:rsid w:val="00FC00EF"/>
    <w:rsid w:val="00FC0C07"/>
    <w:rsid w:val="00FC4D12"/>
    <w:rsid w:val="00FC6595"/>
    <w:rsid w:val="00FD1A26"/>
    <w:rsid w:val="00FD2B72"/>
    <w:rsid w:val="00FD4374"/>
    <w:rsid w:val="00FD4ADE"/>
    <w:rsid w:val="00FD5A57"/>
    <w:rsid w:val="00FD75C3"/>
    <w:rsid w:val="00FD75D6"/>
    <w:rsid w:val="00FD7AE9"/>
    <w:rsid w:val="00FE03DD"/>
    <w:rsid w:val="00FE4D58"/>
    <w:rsid w:val="00FE67DB"/>
    <w:rsid w:val="00FE7254"/>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1CF60"/>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51A"/>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021889"/>
    <w:pPr>
      <w:tabs>
        <w:tab w:val="right" w:pos="4950"/>
        <w:tab w:val="right" w:leader="dot" w:pos="10790"/>
      </w:tabs>
      <w:spacing w:after="10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nks.govdelivery.com:80/track?type=click&amp;enid=ZWFzPTEmbWFpbGluZ2lkPTIwMTgwMzA2Ljg2NDgzMTgxJm1lc3NhZ2VpZD1NREItUFJELUJVTC0yMDE4MDMwNi44NjQ4MzE4MSZkYXRhYmFzZWlkPTEwMDEmc2VyaWFsPTE3NDk4MTQzJmVtYWlsaWQ9a2dvdWxhcnRAaWJhdC5vcmcmdXNlcmlkPWtnb3VsYXJ0QGliYXQub3JnJmZsPSZleHRyYT1NdWx0aXZhcmlhdGVJZD0mJiY=&amp;&amp;&amp;100&amp;&amp;&amp;http://www.consumerfinance.gov/policy-compliance/guidance/implementation-guidance/rural-and-underserved-counties-list/" TargetMode="External"/><Relationship Id="rId21" Type="http://schemas.openxmlformats.org/officeDocument/2006/relationships/hyperlink" Target="https://s3.amazonaws.com/files.consumerfinance.gov/f/documents/cfpb_prepaid_guide-to-short-form-disclosure.pdf" TargetMode="External"/><Relationship Id="rId42" Type="http://schemas.openxmlformats.org/officeDocument/2006/relationships/hyperlink" Target="https://www.occ.gov/news-issuances/news-releases/2018/nr-occ-2018-26.html" TargetMode="External"/><Relationship Id="rId47" Type="http://schemas.openxmlformats.org/officeDocument/2006/relationships/hyperlink" Target="http://www.federalreserve.gov/newsevents/pressreleases/bcreg20180306a.htm" TargetMode="External"/><Relationship Id="rId63" Type="http://schemas.openxmlformats.org/officeDocument/2006/relationships/hyperlink" Target="http://www.consumerfinance.gov/policy-compliance/guidance/implementation-guidance/prepaid-rule/" TargetMode="External"/><Relationship Id="rId68" Type="http://schemas.openxmlformats.org/officeDocument/2006/relationships/hyperlink" Target="http://www.gpo.gov/fdsys/browse/collectionCfr.action?collectionCode=CFR" TargetMode="External"/><Relationship Id="rId84" Type="http://schemas.openxmlformats.org/officeDocument/2006/relationships/hyperlink" Target="http://www.ftc.gov" TargetMode="External"/><Relationship Id="rId89" Type="http://schemas.openxmlformats.org/officeDocument/2006/relationships/hyperlink" Target="http://files.consumerfinance.gov/f/201305_compliance-guide_home-ownership-and-equity-protection-act-rule.pd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nks.govdelivery.com:80/track?type=click&amp;enid=ZWFzPTEmbWFpbGluZ2lkPTIwMTgwMzE0Ljg2OTc2MTIxJm1lc3NhZ2VpZD1NREItUFJELUJVTC0yMDE4MDMxNC44Njk3NjEyMSZkYXRhYmFzZWlkPTEwMDEmc2VyaWFsPTE3NTAwNzExJmVtYWlsaWQ9a2dvdWxhcnRAaWJhdC5vcmcmdXNlcmlkPWtnb3VsYXJ0QGliYXQub3JnJmZsPSZleHRyYT1NdWx0aXZhcmlhdGVJZD0mJiY=&amp;&amp;&amp;100&amp;&amp;&amp;https://files.consumerfinance.gov/f/documents/cfpb_rfi_adopted-regulations_032018.pdf" TargetMode="External"/><Relationship Id="rId29" Type="http://schemas.openxmlformats.org/officeDocument/2006/relationships/hyperlink" Target="http://links.govdelivery.com:80/track?type=click&amp;enid=ZWFzPTEmbWFpbGluZ2lkPTIwMTgwMzAxLjg2MjQ1NTkxJm1lc3NhZ2VpZD1NREItUFJELUJVTC0yMDE4MDMwMS44NjI0NTU5MSZkYXRhYmFzZWlkPTEwMDEmc2VyaWFsPTE3NDk2ODk4JmVtYWlsaWQ9a2dvdWxhcnRAaWJhdC5vcmcmdXNlcmlkPWtnb3VsYXJ0QGliYXQub3JnJmZsPSZleHRyYT1NdWx0aXZhcmlhdGVJZD0mJiY=&amp;&amp;&amp;100&amp;&amp;&amp;https://files.consumerfinance.gov/f/documents/cfpb_rfi_complaint-reporting_032018.pdf" TargetMode="External"/><Relationship Id="rId107" Type="http://schemas.openxmlformats.org/officeDocument/2006/relationships/hyperlink" Target="https://www.ffiec.gov/bsa_aml_infobase/pages_manual/OLM_015.htm" TargetMode="External"/><Relationship Id="rId11" Type="http://schemas.openxmlformats.org/officeDocument/2006/relationships/hyperlink" Target="https://www.fdic.gov/news/news/financial/2017/fil17063.html" TargetMode="External"/><Relationship Id="rId24" Type="http://schemas.openxmlformats.org/officeDocument/2006/relationships/hyperlink" Target="http://links.govdelivery.com:80/track?type=click&amp;enid=ZWFzPTEmbWFpbGluZ2lkPTIwMTgwMzA4Ljg2NjQxMDYxJm1lc3NhZ2VpZD1NREItUFJELUJVTC0yMDE4MDMwOC44NjY0MTA2MSZkYXRhYmFzZWlkPTEwMDEmc2VyaWFsPTE3NDk5MDI1JmVtYWlsaWQ9a2dvdWxhcnRAaWJhdC5vcmcmdXNlcmlkPWtnb3VsYXJ0QGliYXQub3JnJmZsPSZleHRyYT1NdWx0aXZhcmlhdGVJZD0mJiY=&amp;&amp;&amp;100&amp;&amp;&amp;https://www.consumerfinance.gov/policy-compliance/guidance/implementation-guidance/mortserv/" TargetMode="External"/><Relationship Id="rId32" Type="http://schemas.openxmlformats.org/officeDocument/2006/relationships/hyperlink" Target="https://content.govdelivery.com/accounts/USFDIC/bulletins/1dfb47e" TargetMode="External"/><Relationship Id="rId37" Type="http://schemas.openxmlformats.org/officeDocument/2006/relationships/hyperlink" Target="https://www.fdic.gov/news/news/press/2018/pr18013.html" TargetMode="External"/><Relationship Id="rId40" Type="http://schemas.openxmlformats.org/officeDocument/2006/relationships/hyperlink" Target="https://www.occ.gov/news-issuances/news-releases/2018/nr-occ-2018-28.html" TargetMode="External"/><Relationship Id="rId45" Type="http://schemas.openxmlformats.org/officeDocument/2006/relationships/hyperlink" Target="https://www.occ.treas.gov/news-issuances/news-releases/2018/nr-occ-2018-25.html" TargetMode="External"/><Relationship Id="rId53" Type="http://schemas.openxmlformats.org/officeDocument/2006/relationships/hyperlink" Target="https://www.federalreserve.gov/newsevents/speech/brainard20180306a.htm" TargetMode="External"/><Relationship Id="rId58" Type="http://schemas.openxmlformats.org/officeDocument/2006/relationships/hyperlink" Target="https://www.dallasfed.org/cd/pubs/galveston" TargetMode="External"/><Relationship Id="rId66" Type="http://schemas.openxmlformats.org/officeDocument/2006/relationships/hyperlink" Target="http://www.law.cornell.edu/topn/credit_card_accountability_responsibility_and_disclosure_act_of_2009" TargetMode="External"/><Relationship Id="rId74" Type="http://schemas.openxmlformats.org/officeDocument/2006/relationships/hyperlink" Target="https://www.fdic.gov/" TargetMode="External"/><Relationship Id="rId79" Type="http://schemas.openxmlformats.org/officeDocument/2006/relationships/hyperlink" Target="http://portal.hud.gov/hudportal/HUD?src=/federal_housing_administration" TargetMode="External"/><Relationship Id="rId87" Type="http://schemas.openxmlformats.org/officeDocument/2006/relationships/hyperlink" Target="https://www.hmpadmin.com/portal/programs/hamp.jsp" TargetMode="External"/><Relationship Id="rId102" Type="http://schemas.openxmlformats.org/officeDocument/2006/relationships/hyperlink" Target="http://www.ecfr.gov/cgi-bin/text-idx?c=ecfr&amp;tpl=/ecfrbrowse/Title12/12cfr1007_main_02.tpl"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federalreserve.gov/newsevents/pressreleases/files/bcreg20170531a1.pdf" TargetMode="External"/><Relationship Id="rId82" Type="http://schemas.openxmlformats.org/officeDocument/2006/relationships/hyperlink" Target="http://www.federalreserve.gov/" TargetMode="External"/><Relationship Id="rId90" Type="http://schemas.openxmlformats.org/officeDocument/2006/relationships/hyperlink" Target="https://www.consumerfinance.gov/ask-cfpb/what-is-a-higher-priced-mortgage-loan-en-1797/" TargetMode="External"/><Relationship Id="rId95" Type="http://schemas.openxmlformats.org/officeDocument/2006/relationships/hyperlink" Target="http://www.occ.gov/" TargetMode="External"/><Relationship Id="rId19" Type="http://schemas.openxmlformats.org/officeDocument/2006/relationships/image" Target="media/image4.png"/><Relationship Id="rId14" Type="http://schemas.openxmlformats.org/officeDocument/2006/relationships/image" Target="media/image3.png"/><Relationship Id="rId22" Type="http://schemas.openxmlformats.org/officeDocument/2006/relationships/hyperlink" Target="https://s3.amazonaws.com/files.consumerfinance.gov/f/documents/cfpb_prepaid_guide-to-short-form-disclosure.pdf" TargetMode="External"/><Relationship Id="rId27" Type="http://schemas.openxmlformats.org/officeDocument/2006/relationships/hyperlink" Target="http://links.govdelivery.com:80/track?type=click&amp;enid=ZWFzPTEmbWFpbGluZ2lkPTIwMTgwMzA2Ljg2NDgzMTgxJm1lc3NhZ2VpZD1NREItUFJELUJVTC0yMDE4MDMwNi44NjQ4MzE4MSZkYXRhYmFzZWlkPTEwMDEmc2VyaWFsPTE3NDk4MTQzJmVtYWlsaWQ9a2dvdWxhcnRAaWJhdC5vcmcmdXNlcmlkPWtnb3VsYXJ0QGliYXQub3JnJmZsPSZleHRyYT1NdWx0aXZhcmlhdGVJZD0mJiY=&amp;&amp;&amp;101&amp;&amp;&amp;https://www.consumerfinance.gov/rural-or-underserved-tool/" TargetMode="External"/><Relationship Id="rId30" Type="http://schemas.openxmlformats.org/officeDocument/2006/relationships/hyperlink" Target="https://www.consumerfinance.gov/about-us/newsroom/cfpb-issues-request-information-consumer-complaint-reporting/" TargetMode="External"/><Relationship Id="rId35" Type="http://schemas.openxmlformats.org/officeDocument/2006/relationships/hyperlink" Target="https://www.fdic.gov/quicklinks/spanish.html" TargetMode="External"/><Relationship Id="rId43" Type="http://schemas.openxmlformats.org/officeDocument/2006/relationships/hyperlink" Target="https://www.occ.gov/publications/publications-by-type/other-publications-reports/Detecting-Red-Flags.pdf" TargetMode="External"/><Relationship Id="rId48" Type="http://schemas.openxmlformats.org/officeDocument/2006/relationships/hyperlink" Target="https://www.ftc.gov/news-events/press-releases/2018/02/ftc-challenges-schemes-target-or-affect-senior-citizens" TargetMode="External"/><Relationship Id="rId56" Type="http://schemas.openxmlformats.org/officeDocument/2006/relationships/hyperlink" Target="https://www.dallasfed.org/-/media/Documents/cd/pubs/galveston.pdf?la=en" TargetMode="External"/><Relationship Id="rId64" Type="http://schemas.openxmlformats.org/officeDocument/2006/relationships/footer" Target="footer1.xml"/><Relationship Id="rId69" Type="http://schemas.openxmlformats.org/officeDocument/2006/relationships/hyperlink" Target="http://www.ffiec.gov/cra/" TargetMode="External"/><Relationship Id="rId77" Type="http://schemas.openxmlformats.org/officeDocument/2006/relationships/hyperlink" Target="http://www.ffiec.gov/" TargetMode="External"/><Relationship Id="rId100" Type="http://schemas.openxmlformats.org/officeDocument/2006/relationships/hyperlink" Target="https://www.consumerfinance.gov/eregulations/1030" TargetMode="External"/><Relationship Id="rId105" Type="http://schemas.openxmlformats.org/officeDocument/2006/relationships/hyperlink" Target="https://www.consumerfinance.gov/eregulations/1026" TargetMode="External"/><Relationship Id="rId8" Type="http://schemas.openxmlformats.org/officeDocument/2006/relationships/image" Target="media/image1.png"/><Relationship Id="rId51" Type="http://schemas.openxmlformats.org/officeDocument/2006/relationships/hyperlink" Target="https://www.consumer.ftc.gov/blog/2018/02/stopping-scams-targeting-older-consumers?utm_source=govdelivery" TargetMode="External"/><Relationship Id="rId72" Type="http://schemas.openxmlformats.org/officeDocument/2006/relationships/hyperlink" Target="http://www.law.cornell.edu/topn/dodd-frank_wall_street_reform_and_consumer_protection_act" TargetMode="External"/><Relationship Id="rId80" Type="http://schemas.openxmlformats.org/officeDocument/2006/relationships/hyperlink" Target="http://www.fincen.gov" TargetMode="External"/><Relationship Id="rId85" Type="http://schemas.openxmlformats.org/officeDocument/2006/relationships/hyperlink" Target="http://www.gao.gov" TargetMode="External"/><Relationship Id="rId93" Type="http://schemas.openxmlformats.org/officeDocument/2006/relationships/hyperlink" Target="http://www.fema.gov/national-flood-insurance-program" TargetMode="External"/><Relationship Id="rId98" Type="http://schemas.openxmlformats.org/officeDocument/2006/relationships/hyperlink" Target="https://www.consumerfinance.gov/eregulations/1002" TargetMode="External"/><Relationship Id="rId3" Type="http://schemas.openxmlformats.org/officeDocument/2006/relationships/styles" Target="styles.xml"/><Relationship Id="rId12" Type="http://schemas.openxmlformats.org/officeDocument/2006/relationships/hyperlink" Target="https://www.ffiec.gov/hmda/pdf/2018guide.pdf" TargetMode="External"/><Relationship Id="rId17" Type="http://schemas.openxmlformats.org/officeDocument/2006/relationships/hyperlink" Target="http://links.govdelivery.com:80/track?type=click&amp;enid=ZWFzPTEmbWFpbGluZ2lkPTIwMTgwMzE0Ljg2OTc2MTIxJm1lc3NhZ2VpZD1NREItUFJELUJVTC0yMDE4MDMxNC44Njk3NjEyMSZkYXRhYmFzZWlkPTEwMDEmc2VyaWFsPTE3NTAwNzExJmVtYWlsaWQ9a2dvdWxhcnRAaWJhdC5vcmcmdXNlcmlkPWtnb3VsYXJ0QGliYXQub3JnJmZsPSZleHRyYT1NdWx0aXZhcmlhdGVJZD0mJiY=&amp;&amp;&amp;101&amp;&amp;&amp;http://www.consumerfinance.gov/policy-compliance/notice-opportunities-comment/open-notices/call-for-evidence/" TargetMode="External"/><Relationship Id="rId25" Type="http://schemas.openxmlformats.org/officeDocument/2006/relationships/hyperlink" Target="https://www.consumerfinance.gov/about-us/newsroom/cfpb-issues-final-rule-help-mortgage-servicers-communicate-certain-borrowers-facing-bankruptcy/" TargetMode="External"/><Relationship Id="rId33" Type="http://schemas.openxmlformats.org/officeDocument/2006/relationships/hyperlink" Target="https://www.fdic.gov/ncpw" TargetMode="External"/><Relationship Id="rId38" Type="http://schemas.openxmlformats.org/officeDocument/2006/relationships/hyperlink" Target="http://www.occ.gov" TargetMode="External"/><Relationship Id="rId46" Type="http://schemas.openxmlformats.org/officeDocument/2006/relationships/hyperlink" Target="http://www.federalreserve.gov/monetarypolicy/beige-book-default.htm" TargetMode="External"/><Relationship Id="rId59" Type="http://schemas.openxmlformats.org/officeDocument/2006/relationships/hyperlink" Target="https://www.gpo.gov/fdsys/pkg/FR-2017-10-27/pdf/2017-22093.pdf" TargetMode="External"/><Relationship Id="rId67" Type="http://schemas.openxmlformats.org/officeDocument/2006/relationships/hyperlink" Target="http://www.consumerfinance.gov/" TargetMode="External"/><Relationship Id="rId103" Type="http://schemas.openxmlformats.org/officeDocument/2006/relationships/hyperlink" Target="https://www.ecfr.gov/cgi-bin/text-idx?c=ecfr&amp;tpl=/ecfrbrowse/Title12/12cfr1016_main_02.tpl" TargetMode="External"/><Relationship Id="rId108" Type="http://schemas.openxmlformats.org/officeDocument/2006/relationships/hyperlink" Target="https://www.consumerfinance.gov/eregulations/1026" TargetMode="External"/><Relationship Id="rId20" Type="http://schemas.openxmlformats.org/officeDocument/2006/relationships/hyperlink" Target="https://s3.amazonaws.com/files.consumerfinance.gov/f/documents/cfpb_prepaid_small-entity-compliance-guide.pdf" TargetMode="External"/><Relationship Id="rId41" Type="http://schemas.openxmlformats.org/officeDocument/2006/relationships/hyperlink" Target="http://www.occ.gov/occworkshops" TargetMode="External"/><Relationship Id="rId54" Type="http://schemas.openxmlformats.org/officeDocument/2006/relationships/hyperlink" Target="http://www.federalreserve.gov/econres/feds/files/2018020pap.pdf" TargetMode="External"/><Relationship Id="rId62" Type="http://schemas.openxmlformats.org/officeDocument/2006/relationships/hyperlink" Target="http://s3.amazonaws.com/files.consumerfinance.gov/f/documents/20161005_cfpb_Final_Rule_Prepaid_Accounts.pdf" TargetMode="External"/><Relationship Id="rId70" Type="http://schemas.openxmlformats.org/officeDocument/2006/relationships/hyperlink" Target="http://www.csbs.org/Pages/default.aspx" TargetMode="External"/><Relationship Id="rId75" Type="http://schemas.openxmlformats.org/officeDocument/2006/relationships/hyperlink" Target="https://www.consumerfinance.gov/eregulations/1005" TargetMode="External"/><Relationship Id="rId83" Type="http://schemas.openxmlformats.org/officeDocument/2006/relationships/hyperlink" Target="http://www.treasury.gov/initiatives/fsoc/Pages/home.aspx" TargetMode="External"/><Relationship Id="rId88" Type="http://schemas.openxmlformats.org/officeDocument/2006/relationships/hyperlink" Target="https://www.ffiec.gov/hmda/" TargetMode="External"/><Relationship Id="rId91" Type="http://schemas.openxmlformats.org/officeDocument/2006/relationships/hyperlink" Target="http://www.hud.gov" TargetMode="External"/><Relationship Id="rId96" Type="http://schemas.openxmlformats.org/officeDocument/2006/relationships/hyperlink" Target="http://www.treasury.gov/about/organizational-structure/offices/Pages/Office-of-Foreign-Assets-Control.aspx"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sumerfinance.gov/about-us/blog/we-are-accepting-applications-our-advisory-board-and-councils-abc/" TargetMode="External"/><Relationship Id="rId23" Type="http://schemas.openxmlformats.org/officeDocument/2006/relationships/hyperlink" Target="https://www.consumerfinance.gov/policy-compliance/guidance/implementation-guidance/prepaid-rule/" TargetMode="External"/><Relationship Id="rId28" Type="http://schemas.openxmlformats.org/officeDocument/2006/relationships/hyperlink" Target="https://www.consumerfinance.gov/policy-compliance/guidance/implementation-guidance/rural-and-underserved-counties-list/" TargetMode="External"/><Relationship Id="rId36" Type="http://schemas.openxmlformats.org/officeDocument/2006/relationships/hyperlink" Target="https://www.fdic.gov/news/news/press/2018/pr18017.html" TargetMode="External"/><Relationship Id="rId49" Type="http://schemas.openxmlformats.org/officeDocument/2006/relationships/hyperlink" Target="https://www.consumer.ftc.gov/features/tech-support-scams" TargetMode="External"/><Relationship Id="rId57" Type="http://schemas.openxmlformats.org/officeDocument/2006/relationships/hyperlink" Target="https://www.dallasfed.org/cd/housing/affordable" TargetMode="External"/><Relationship Id="rId106" Type="http://schemas.openxmlformats.org/officeDocument/2006/relationships/hyperlink" Target="https://www.consumerfinance.gov/eregulations/1024" TargetMode="External"/><Relationship Id="rId10" Type="http://schemas.openxmlformats.org/officeDocument/2006/relationships/hyperlink" Target="https://service.govdelivery.com/accounts/USFDIC/subscriber/new" TargetMode="External"/><Relationship Id="rId31" Type="http://schemas.openxmlformats.org/officeDocument/2006/relationships/hyperlink" Target="http://www.fdic.gov/ncpw?source=govdelivery&amp;utm_medium=email&amp;utm_source=govdelivery" TargetMode="External"/><Relationship Id="rId44" Type="http://schemas.openxmlformats.org/officeDocument/2006/relationships/hyperlink" Target="http://www.occ.gov/occworkshops" TargetMode="External"/><Relationship Id="rId52" Type="http://schemas.openxmlformats.org/officeDocument/2006/relationships/hyperlink" Target="http://www.chicagofed.org/publications/chicago-fed-letter/2018/394" TargetMode="External"/><Relationship Id="rId60" Type="http://schemas.openxmlformats.org/officeDocument/2006/relationships/hyperlink" Target="https://www.gpo.gov/fdsys/pkg/FR-2016-05-11/pdf/2016-10567.pdf" TargetMode="External"/><Relationship Id="rId65" Type="http://schemas.openxmlformats.org/officeDocument/2006/relationships/footer" Target="footer2.xml"/><Relationship Id="rId73" Type="http://schemas.openxmlformats.org/officeDocument/2006/relationships/hyperlink" Target="http://www.justice.gov/" TargetMode="External"/><Relationship Id="rId78" Type="http://schemas.openxmlformats.org/officeDocument/2006/relationships/hyperlink" Target="http://www.fhfa.gov/" TargetMode="External"/><Relationship Id="rId81" Type="http://schemas.openxmlformats.org/officeDocument/2006/relationships/hyperlink" Target="https://www.federalregister.gov/" TargetMode="External"/><Relationship Id="rId86" Type="http://schemas.openxmlformats.org/officeDocument/2006/relationships/hyperlink" Target="http://harpprogram.org/" TargetMode="External"/><Relationship Id="rId94" Type="http://schemas.openxmlformats.org/officeDocument/2006/relationships/hyperlink" Target="http://mortgage.nationwidelicensingsystem.org/Pages/default.aspx" TargetMode="External"/><Relationship Id="rId99" Type="http://schemas.openxmlformats.org/officeDocument/2006/relationships/hyperlink" Target="https://www.consumerfinance.gov/eregulations/1003" TargetMode="External"/><Relationship Id="rId101" Type="http://schemas.openxmlformats.org/officeDocument/2006/relationships/hyperlink" Target="https://www.consumerfinance.gov/eregulations/1005"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www.fdic.gov/news/news/financial/2018/fil18010.html" TargetMode="External"/><Relationship Id="rId18" Type="http://schemas.openxmlformats.org/officeDocument/2006/relationships/hyperlink" Target="https://www.consumerfinance.gov/about-us/newsroom/cfpb-issues-request-information-adopted-regulations-new-rulemaking-authorities/" TargetMode="External"/><Relationship Id="rId39" Type="http://schemas.openxmlformats.org/officeDocument/2006/relationships/hyperlink" Target="https://www.occ.gov/publications/publications-by-type/other-publications-reports/mortgage-metrics/mortgage-metrics-q4-2017.pdf" TargetMode="External"/><Relationship Id="rId109" Type="http://schemas.openxmlformats.org/officeDocument/2006/relationships/hyperlink" Target="http://www.treasury.gov" TargetMode="External"/><Relationship Id="rId34" Type="http://schemas.openxmlformats.org/officeDocument/2006/relationships/hyperlink" Target="https://www.fdic.gov/consumers/consumer/news/cnwin18" TargetMode="External"/><Relationship Id="rId50" Type="http://schemas.openxmlformats.org/officeDocument/2006/relationships/hyperlink" Target="https://www.consumer.ftc.gov/features/feature-0030-pass-it-on" TargetMode="External"/><Relationship Id="rId55" Type="http://schemas.openxmlformats.org/officeDocument/2006/relationships/hyperlink" Target="http://www.chicagofed.org/~/media/publications/cfsbc/2018/cfsbc-march2018-pdf.pdf" TargetMode="External"/><Relationship Id="rId76" Type="http://schemas.openxmlformats.org/officeDocument/2006/relationships/hyperlink" Target="http://www.fema.gov" TargetMode="External"/><Relationship Id="rId97" Type="http://schemas.openxmlformats.org/officeDocument/2006/relationships/hyperlink" Target="http://www.occ.gov/topics/credit/commercial-credit/other-real-estate-owned.html" TargetMode="External"/><Relationship Id="rId104" Type="http://schemas.openxmlformats.org/officeDocument/2006/relationships/hyperlink" Target="https://www.consumerfinance.gov/eregulations/1024" TargetMode="External"/><Relationship Id="rId7" Type="http://schemas.openxmlformats.org/officeDocument/2006/relationships/endnotes" Target="endnotes.xml"/><Relationship Id="rId71" Type="http://schemas.openxmlformats.org/officeDocument/2006/relationships/hyperlink" Target="https://www.ffiec.gov/bsa_aml_infobase/pages_manual/olm_017.htm" TargetMode="External"/><Relationship Id="rId92"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72C7F-3122-4EB9-8C75-4BA80C87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6953</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Carolyn Griffith</cp:lastModifiedBy>
  <cp:revision>7</cp:revision>
  <cp:lastPrinted>2017-09-20T16:00:00Z</cp:lastPrinted>
  <dcterms:created xsi:type="dcterms:W3CDTF">2018-03-22T00:19:00Z</dcterms:created>
  <dcterms:modified xsi:type="dcterms:W3CDTF">2018-03-22T16:55:00Z</dcterms:modified>
</cp:coreProperties>
</file>