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30DB87" w14:textId="15A5F05C" w:rsidR="008B1789" w:rsidRPr="008B1789" w:rsidRDefault="008B1789" w:rsidP="008B1789">
      <w:pPr>
        <w:jc w:val="center"/>
      </w:pPr>
      <w:bookmarkStart w:id="0" w:name="_Toc482863499"/>
      <w:r>
        <w:rPr>
          <w:noProof/>
        </w:rPr>
        <w:drawing>
          <wp:inline distT="0" distB="0" distL="0" distR="0" wp14:anchorId="1A02C999" wp14:editId="77FCB3B1">
            <wp:extent cx="2456815" cy="1152525"/>
            <wp:effectExtent l="0" t="0" r="635" b="9525"/>
            <wp:docPr id="15" name="Picture 1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6815" cy="1152525"/>
                    </a:xfrm>
                    <a:prstGeom prst="rect">
                      <a:avLst/>
                    </a:prstGeom>
                    <a:noFill/>
                  </pic:spPr>
                </pic:pic>
              </a:graphicData>
            </a:graphic>
          </wp:inline>
        </w:drawing>
      </w:r>
    </w:p>
    <w:p w14:paraId="27918B9E" w14:textId="77777777" w:rsidR="008B1789" w:rsidRDefault="008B1789" w:rsidP="00063F3D">
      <w:pPr>
        <w:rPr>
          <w:rFonts w:eastAsia="Times New Roman" w:cstheme="minorHAnsi"/>
          <w:b/>
          <w:i/>
          <w:color w:val="002060"/>
          <w:sz w:val="20"/>
          <w:szCs w:val="20"/>
        </w:rPr>
      </w:pPr>
    </w:p>
    <w:p w14:paraId="7C2CE35C" w14:textId="7A7636CB" w:rsidR="00063F3D" w:rsidRDefault="00063F3D" w:rsidP="00063F3D">
      <w:pPr>
        <w:rPr>
          <w:rFonts w:eastAsia="Times New Roman" w:cstheme="minorHAnsi"/>
          <w:b/>
          <w:i/>
          <w:color w:val="002060"/>
          <w:sz w:val="20"/>
          <w:szCs w:val="20"/>
        </w:rPr>
      </w:pPr>
      <w:r w:rsidRPr="00436AD8">
        <w:rPr>
          <w:rFonts w:eastAsia="Times New Roman" w:cstheme="minorHAnsi"/>
          <w:b/>
          <w:i/>
          <w:color w:val="002060"/>
          <w:sz w:val="20"/>
          <w:szCs w:val="20"/>
        </w:rPr>
        <w:t>When there is a deadline</w:t>
      </w:r>
      <w:r>
        <w:rPr>
          <w:rFonts w:eastAsia="Times New Roman" w:cstheme="minorHAnsi"/>
          <w:b/>
          <w:i/>
          <w:color w:val="002060"/>
          <w:sz w:val="20"/>
          <w:szCs w:val="20"/>
        </w:rPr>
        <w:t xml:space="preserve"> or effective date</w:t>
      </w:r>
      <w:r w:rsidRPr="00436AD8">
        <w:rPr>
          <w:rFonts w:eastAsia="Times New Roman" w:cstheme="minorHAnsi"/>
          <w:b/>
          <w:i/>
          <w:color w:val="002060"/>
          <w:sz w:val="20"/>
          <w:szCs w:val="20"/>
        </w:rPr>
        <w:t xml:space="preserve"> associated with an item, you will see this graphic: </w:t>
      </w:r>
      <w:r w:rsidRPr="00436AD8">
        <w:rPr>
          <w:rFonts w:cstheme="minorHAnsi"/>
          <w:noProof/>
        </w:rPr>
        <w:drawing>
          <wp:inline distT="0" distB="0" distL="0" distR="0" wp14:anchorId="7A6F1338" wp14:editId="12414FAC">
            <wp:extent cx="275590" cy="220980"/>
            <wp:effectExtent l="0" t="0" r="0" b="7620"/>
            <wp:docPr id="2" name="Picture 4"/>
            <wp:cNvGraphicFramePr/>
            <a:graphic xmlns:a="http://schemas.openxmlformats.org/drawingml/2006/main">
              <a:graphicData uri="http://schemas.openxmlformats.org/drawingml/2006/picture">
                <pic:pic xmlns:pic="http://schemas.openxmlformats.org/drawingml/2006/picture">
                  <pic:nvPicPr>
                    <pic:cNvPr id="6" name="Picture 4"/>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5590" cy="220980"/>
                    </a:xfrm>
                    <a:prstGeom prst="rect">
                      <a:avLst/>
                    </a:prstGeom>
                    <a:noFill/>
                    <a:ln>
                      <a:noFill/>
                    </a:ln>
                  </pic:spPr>
                </pic:pic>
              </a:graphicData>
            </a:graphic>
          </wp:inline>
        </w:drawing>
      </w:r>
      <w:bookmarkStart w:id="1" w:name="_Toc409519093"/>
      <w:bookmarkStart w:id="2" w:name="_Toc504138793"/>
      <w:bookmarkStart w:id="3" w:name="_Hlk501354491"/>
    </w:p>
    <w:p w14:paraId="611B4531" w14:textId="77777777" w:rsidR="00FD6EE1" w:rsidRDefault="00FD6EE1" w:rsidP="00063F3D">
      <w:pPr>
        <w:rPr>
          <w:rFonts w:eastAsia="Times New Roman" w:cstheme="minorHAnsi"/>
          <w:b/>
          <w:i/>
          <w:color w:val="002060"/>
          <w:sz w:val="20"/>
          <w:szCs w:val="20"/>
        </w:rPr>
      </w:pPr>
    </w:p>
    <w:p w14:paraId="6E3A63E8" w14:textId="1912719F" w:rsidR="00FD6EE1" w:rsidRDefault="001C22F0" w:rsidP="00063F3D">
      <w:pPr>
        <w:rPr>
          <w:rFonts w:ascii="Calibri" w:eastAsia="Times New Roman" w:hAnsi="Calibri" w:cstheme="minorHAnsi"/>
          <w:b/>
          <w:i/>
          <w:color w:val="002060"/>
          <w:sz w:val="28"/>
          <w:szCs w:val="28"/>
        </w:rPr>
      </w:pPr>
      <w:r>
        <w:rPr>
          <w:rFonts w:ascii="Calibri" w:eastAsia="Times New Roman" w:hAnsi="Calibri" w:cstheme="minorHAnsi"/>
          <w:b/>
          <w:i/>
          <w:color w:val="002060"/>
          <w:sz w:val="28"/>
          <w:szCs w:val="28"/>
        </w:rPr>
        <w:t>“</w:t>
      </w:r>
      <w:r w:rsidR="0042460B">
        <w:rPr>
          <w:rFonts w:ascii="Calibri" w:eastAsia="Times New Roman" w:hAnsi="Calibri" w:cstheme="minorHAnsi"/>
          <w:b/>
          <w:i/>
          <w:color w:val="002060"/>
          <w:sz w:val="28"/>
          <w:szCs w:val="28"/>
        </w:rPr>
        <w:t xml:space="preserve">October is a Hallelujah! reverberating in my body year-round.” – John Nichols </w:t>
      </w:r>
    </w:p>
    <w:p w14:paraId="073CCCE9" w14:textId="05B85F50" w:rsidR="00565744" w:rsidRPr="003C7033" w:rsidRDefault="00063F3D" w:rsidP="003C7033">
      <w:pPr>
        <w:pStyle w:val="CCTOCHeading"/>
        <w:spacing w:line="259" w:lineRule="auto"/>
      </w:pPr>
      <w:bookmarkStart w:id="4" w:name="_Toc504138999"/>
      <w:bookmarkStart w:id="5" w:name="_Toc504138792"/>
      <w:bookmarkStart w:id="6" w:name="_Toc409519092"/>
      <w:bookmarkStart w:id="7" w:name="_Toc22799373"/>
      <w:r w:rsidRPr="00441CA4">
        <w:t>Joint federal agency issuances</w:t>
      </w:r>
      <w:bookmarkEnd w:id="4"/>
      <w:bookmarkEnd w:id="5"/>
      <w:bookmarkEnd w:id="6"/>
      <w:r>
        <w:t xml:space="preserve">, </w:t>
      </w:r>
      <w:r w:rsidRPr="006E7501">
        <w:t>action</w:t>
      </w:r>
      <w:r>
        <w:t>s</w:t>
      </w:r>
      <w:r w:rsidRPr="006E7501">
        <w:t xml:space="preserve"> and news</w:t>
      </w:r>
      <w:bookmarkStart w:id="8" w:name="_Hlk527466103"/>
      <w:bookmarkStart w:id="9" w:name="_Hlk533754203"/>
      <w:bookmarkStart w:id="10" w:name="_Hlk514654946"/>
      <w:bookmarkStart w:id="11" w:name="_Hlk517249631"/>
      <w:bookmarkStart w:id="12" w:name="_Hlk529874490"/>
      <w:bookmarkEnd w:id="7"/>
    </w:p>
    <w:p w14:paraId="1E07A7DA" w14:textId="1C5C437C" w:rsidR="00367E0D" w:rsidRPr="0077105F" w:rsidRDefault="00367E0D" w:rsidP="00367E0D">
      <w:pPr>
        <w:tabs>
          <w:tab w:val="left" w:pos="7284"/>
        </w:tabs>
        <w:spacing w:before="120" w:after="120" w:line="259" w:lineRule="auto"/>
        <w:rPr>
          <w:rFonts w:eastAsia="Calibri" w:cstheme="minorHAnsi"/>
          <w:b/>
          <w:bCs/>
          <w:i/>
          <w:color w:val="000000" w:themeColor="text1"/>
          <w:sz w:val="24"/>
          <w:szCs w:val="24"/>
        </w:rPr>
      </w:pPr>
      <w:bookmarkStart w:id="13" w:name="_Hlk16581629"/>
      <w:bookmarkStart w:id="14" w:name="_Hlk5786137"/>
      <w:bookmarkStart w:id="15" w:name="_Hlk1645805"/>
      <w:bookmarkStart w:id="16" w:name="_Hlk5786238"/>
      <w:bookmarkStart w:id="17" w:name="_Hlk8204677"/>
      <w:bookmarkStart w:id="18" w:name="_Hlk22536116"/>
      <w:bookmarkEnd w:id="8"/>
      <w:bookmarkEnd w:id="9"/>
      <w:bookmarkEnd w:id="10"/>
      <w:bookmarkEnd w:id="11"/>
      <w:bookmarkEnd w:id="12"/>
      <w:r w:rsidRPr="00C13996">
        <w:rPr>
          <w:rFonts w:eastAsia="Calibri" w:cstheme="minorHAnsi"/>
          <w:b/>
          <w:bCs/>
          <w:i/>
          <w:color w:val="000000" w:themeColor="text1"/>
          <w:sz w:val="24"/>
          <w:szCs w:val="24"/>
        </w:rPr>
        <w:t xml:space="preserve">Reporting Data on Loans to Small Businesses and Small Farms in the Consolidated Reports of Condition and Income (Call Report) (10.18.2019) </w:t>
      </w:r>
      <w:r w:rsidRPr="00C13996">
        <w:rPr>
          <w:rFonts w:eastAsia="Calibri" w:cstheme="minorHAnsi"/>
          <w:b/>
          <w:bCs/>
          <w:i/>
          <w:noProof/>
          <w:color w:val="000000" w:themeColor="text1"/>
          <w:sz w:val="24"/>
          <w:szCs w:val="24"/>
        </w:rPr>
        <w:drawing>
          <wp:inline distT="0" distB="0" distL="0" distR="0" wp14:anchorId="3B86DDEE" wp14:editId="3FFCB459">
            <wp:extent cx="274320" cy="219710"/>
            <wp:effectExtent l="0" t="0" r="0" b="889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 cy="219710"/>
                    </a:xfrm>
                    <a:prstGeom prst="rect">
                      <a:avLst/>
                    </a:prstGeom>
                    <a:noFill/>
                  </pic:spPr>
                </pic:pic>
              </a:graphicData>
            </a:graphic>
          </wp:inline>
        </w:drawing>
      </w:r>
    </w:p>
    <w:p w14:paraId="1B2F4B95" w14:textId="715DF936" w:rsidR="00F251C3" w:rsidRPr="00F251C3" w:rsidRDefault="00F251C3" w:rsidP="00F251C3">
      <w:pPr>
        <w:spacing w:before="120" w:after="120" w:line="259" w:lineRule="auto"/>
        <w:rPr>
          <w:rFonts w:ascii="Calibri" w:eastAsia="Calibri" w:hAnsi="Calibri" w:cs="Arial"/>
          <w:color w:val="101820"/>
          <w:sz w:val="24"/>
          <w:szCs w:val="24"/>
        </w:rPr>
      </w:pPr>
      <w:r w:rsidRPr="00F251C3">
        <w:rPr>
          <w:rFonts w:ascii="Calibri" w:eastAsia="Calibri" w:hAnsi="Calibri" w:cs="Arial"/>
          <w:color w:val="101820"/>
          <w:sz w:val="24"/>
          <w:szCs w:val="24"/>
        </w:rPr>
        <w:t xml:space="preserve">On October 17, 2019, the Office of the Comptroller of the Currency (OCC), the Board of Governors of the Federal Reserve System, and the Federal Deposit Insurance Corporation published </w:t>
      </w:r>
      <w:r w:rsidR="00311462">
        <w:rPr>
          <w:rFonts w:ascii="Calibri" w:eastAsia="Calibri" w:hAnsi="Calibri" w:cs="Arial"/>
          <w:color w:val="101820"/>
          <w:sz w:val="24"/>
          <w:szCs w:val="24"/>
        </w:rPr>
        <w:t>a</w:t>
      </w:r>
      <w:r w:rsidRPr="00F251C3">
        <w:rPr>
          <w:rFonts w:ascii="Calibri" w:eastAsia="Calibri" w:hAnsi="Calibri" w:cs="Arial"/>
          <w:color w:val="101820"/>
          <w:sz w:val="24"/>
          <w:szCs w:val="24"/>
        </w:rPr>
        <w:t xml:space="preserve"> notice requesting comment on ways to modify the current requirements for reporting data on loans to small businesses and small farms in the Call Report so that the reported data better reflect lending to these sectors of the U.S. economy.</w:t>
      </w:r>
    </w:p>
    <w:p w14:paraId="6425DA6C" w14:textId="3D2E91EA" w:rsidR="00F251C3" w:rsidRPr="00F251C3" w:rsidRDefault="00F251C3" w:rsidP="00F251C3">
      <w:pPr>
        <w:spacing w:before="120" w:after="120" w:line="259" w:lineRule="auto"/>
        <w:rPr>
          <w:rFonts w:ascii="Calibri" w:eastAsia="Calibri" w:hAnsi="Calibri" w:cs="Arial"/>
          <w:color w:val="101820"/>
          <w:sz w:val="24"/>
          <w:szCs w:val="24"/>
        </w:rPr>
      </w:pPr>
      <w:r w:rsidRPr="00F251C3">
        <w:rPr>
          <w:rFonts w:ascii="Calibri" w:eastAsia="Calibri" w:hAnsi="Calibri" w:cs="Arial"/>
          <w:color w:val="101820"/>
          <w:sz w:val="24"/>
          <w:szCs w:val="24"/>
        </w:rPr>
        <w:t>The U.S. Government Accountability Office (GAO) reviewed the data collected on Call Report Schedule RC</w:t>
      </w:r>
      <w:r w:rsidRPr="00F251C3">
        <w:rPr>
          <w:rFonts w:ascii="Cambria Math" w:eastAsia="Calibri" w:hAnsi="Cambria Math" w:cs="Cambria Math"/>
          <w:color w:val="101820"/>
          <w:sz w:val="24"/>
          <w:szCs w:val="24"/>
        </w:rPr>
        <w:t>‑</w:t>
      </w:r>
      <w:r w:rsidRPr="00F251C3">
        <w:rPr>
          <w:rFonts w:ascii="Calibri" w:eastAsia="Calibri" w:hAnsi="Calibri" w:cs="Arial"/>
          <w:color w:val="101820"/>
          <w:sz w:val="24"/>
          <w:szCs w:val="24"/>
        </w:rPr>
        <w:t>C, Part II, Loans to Small Businesses and Small Farms, as part of a study of the effect of regulations on small business lending.  After summarizing its findings, the GAO recommended that the agencies reevaluate, and modify as needed, the requirements for the data institutions report in the Call Report to better reflect lending to small businesses.  Therefore, the agencies are requesting feedback on ways to improve the usefulness of the Call Report data on loans to small businesses and small farms.</w:t>
      </w:r>
    </w:p>
    <w:p w14:paraId="31D534F2" w14:textId="163C11C8" w:rsidR="00F251C3" w:rsidRDefault="00F251C3" w:rsidP="00F251C3">
      <w:pPr>
        <w:spacing w:before="120" w:after="120" w:line="259" w:lineRule="auto"/>
        <w:rPr>
          <w:rFonts w:ascii="Calibri" w:eastAsia="Calibri" w:hAnsi="Calibri" w:cs="Arial"/>
          <w:color w:val="101820"/>
          <w:sz w:val="24"/>
          <w:szCs w:val="24"/>
        </w:rPr>
      </w:pPr>
      <w:r w:rsidRPr="00F251C3">
        <w:rPr>
          <w:rFonts w:ascii="Calibri" w:eastAsia="Calibri" w:hAnsi="Calibri" w:cs="Arial"/>
          <w:color w:val="101820"/>
          <w:sz w:val="24"/>
          <w:szCs w:val="24"/>
        </w:rPr>
        <w:t xml:space="preserve">Comments, which may be submitted to any or </w:t>
      </w:r>
      <w:proofErr w:type="gramStart"/>
      <w:r w:rsidRPr="00F251C3">
        <w:rPr>
          <w:rFonts w:ascii="Calibri" w:eastAsia="Calibri" w:hAnsi="Calibri" w:cs="Arial"/>
          <w:color w:val="101820"/>
          <w:sz w:val="24"/>
          <w:szCs w:val="24"/>
        </w:rPr>
        <w:t>all of</w:t>
      </w:r>
      <w:proofErr w:type="gramEnd"/>
      <w:r w:rsidRPr="00F251C3">
        <w:rPr>
          <w:rFonts w:ascii="Calibri" w:eastAsia="Calibri" w:hAnsi="Calibri" w:cs="Arial"/>
          <w:color w:val="101820"/>
          <w:sz w:val="24"/>
          <w:szCs w:val="24"/>
        </w:rPr>
        <w:t xml:space="preserve"> the agencies by the methods described in the notice, must be received by December 16, 2019.  After reviewing the comments, the agencies will decide what further steps to take with respect to the collection of small business and small farm lending data.   </w:t>
      </w:r>
    </w:p>
    <w:p w14:paraId="1AC7CE40" w14:textId="4E92A006" w:rsidR="00F251C3" w:rsidRDefault="00F251C3" w:rsidP="00F251C3">
      <w:pPr>
        <w:spacing w:before="120" w:after="120" w:line="259" w:lineRule="auto"/>
        <w:rPr>
          <w:rFonts w:ascii="Calibri" w:eastAsia="Calibri" w:hAnsi="Calibri" w:cs="Arial"/>
          <w:color w:val="101820"/>
          <w:sz w:val="24"/>
          <w:szCs w:val="24"/>
        </w:rPr>
      </w:pPr>
      <w:r w:rsidRPr="00F251C3">
        <w:rPr>
          <w:rFonts w:ascii="Calibri" w:eastAsia="Calibri" w:hAnsi="Calibri" w:cs="Arial"/>
          <w:color w:val="101820"/>
          <w:sz w:val="24"/>
          <w:szCs w:val="24"/>
        </w:rPr>
        <w:t xml:space="preserve">Attachment: </w:t>
      </w:r>
      <w:hyperlink r:id="rId11" w:history="1">
        <w:r w:rsidRPr="00F251C3">
          <w:rPr>
            <w:rStyle w:val="Hyperlink"/>
            <w:rFonts w:ascii="Calibri" w:eastAsia="Calibri" w:hAnsi="Calibri" w:cs="Arial"/>
            <w:sz w:val="24"/>
            <w:szCs w:val="24"/>
          </w:rPr>
          <w:t>Federal Register Notice</w:t>
        </w:r>
      </w:hyperlink>
    </w:p>
    <w:p w14:paraId="1C34DB68" w14:textId="119C13B5" w:rsidR="00367E0D" w:rsidRDefault="00367E0D" w:rsidP="00F251C3">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12" w:history="1">
        <w:r w:rsidRPr="0085208E">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32D1F3E8" w14:textId="34BA9389" w:rsidR="00367E0D" w:rsidRDefault="00367E0D" w:rsidP="00A93DE4">
      <w:pPr>
        <w:spacing w:before="120" w:after="120" w:line="259" w:lineRule="auto"/>
        <w:rPr>
          <w:rFonts w:eastAsia="Calibri" w:cstheme="minorHAnsi"/>
          <w:b/>
          <w:bCs/>
          <w:i/>
          <w:color w:val="002060"/>
          <w:sz w:val="24"/>
          <w:szCs w:val="24"/>
        </w:rPr>
      </w:pPr>
      <w:r w:rsidRPr="0077105F">
        <w:rPr>
          <w:rFonts w:eastAsia="Calibri" w:cstheme="minorHAnsi"/>
          <w:b/>
          <w:bCs/>
          <w:i/>
          <w:color w:val="002060"/>
          <w:sz w:val="24"/>
          <w:szCs w:val="24"/>
        </w:rPr>
        <w:t xml:space="preserve">Comment: </w:t>
      </w:r>
      <w:r w:rsidR="00A93DE4" w:rsidRPr="00A93DE4">
        <w:rPr>
          <w:rFonts w:eastAsia="Calibri" w:cstheme="minorHAnsi"/>
          <w:b/>
          <w:bCs/>
          <w:i/>
          <w:color w:val="002060"/>
          <w:sz w:val="24"/>
          <w:szCs w:val="24"/>
        </w:rPr>
        <w:t>Loans must meet the rules of Schedule RC-C1 of the Call Report to flow through to the</w:t>
      </w:r>
      <w:r w:rsidR="00A93DE4">
        <w:rPr>
          <w:rFonts w:eastAsia="Calibri" w:cstheme="minorHAnsi"/>
          <w:b/>
          <w:bCs/>
          <w:i/>
          <w:color w:val="002060"/>
          <w:sz w:val="24"/>
          <w:szCs w:val="24"/>
        </w:rPr>
        <w:t xml:space="preserve"> </w:t>
      </w:r>
      <w:r w:rsidR="00A93DE4" w:rsidRPr="00A93DE4">
        <w:rPr>
          <w:rFonts w:eastAsia="Calibri" w:cstheme="minorHAnsi"/>
          <w:b/>
          <w:bCs/>
          <w:i/>
          <w:color w:val="002060"/>
          <w:sz w:val="24"/>
          <w:szCs w:val="24"/>
        </w:rPr>
        <w:t xml:space="preserve">Small Business and Small Farm reporting in Schedule RC-C2 and </w:t>
      </w:r>
      <w:r w:rsidR="00A93DE4">
        <w:rPr>
          <w:rFonts w:eastAsia="Calibri" w:cstheme="minorHAnsi"/>
          <w:b/>
          <w:bCs/>
          <w:i/>
          <w:color w:val="002060"/>
          <w:sz w:val="24"/>
          <w:szCs w:val="24"/>
        </w:rPr>
        <w:t xml:space="preserve">are impactful for </w:t>
      </w:r>
      <w:r w:rsidR="00A93DE4" w:rsidRPr="00A93DE4">
        <w:rPr>
          <w:rFonts w:eastAsia="Calibri" w:cstheme="minorHAnsi"/>
          <w:b/>
          <w:bCs/>
          <w:i/>
          <w:color w:val="002060"/>
          <w:sz w:val="24"/>
          <w:szCs w:val="24"/>
        </w:rPr>
        <w:t>CRA reporting. The Call Report</w:t>
      </w:r>
      <w:r w:rsidR="00A93DE4">
        <w:rPr>
          <w:rFonts w:eastAsia="Calibri" w:cstheme="minorHAnsi"/>
          <w:b/>
          <w:bCs/>
          <w:i/>
          <w:color w:val="002060"/>
          <w:sz w:val="24"/>
          <w:szCs w:val="24"/>
        </w:rPr>
        <w:t xml:space="preserve"> </w:t>
      </w:r>
      <w:r w:rsidR="00A93DE4" w:rsidRPr="00A93DE4">
        <w:rPr>
          <w:rFonts w:eastAsia="Calibri" w:cstheme="minorHAnsi"/>
          <w:b/>
          <w:bCs/>
          <w:i/>
          <w:color w:val="002060"/>
          <w:sz w:val="24"/>
          <w:szCs w:val="24"/>
        </w:rPr>
        <w:t xml:space="preserve">instructions contain detailed information regarding purpose, collateral and types of borrowers. </w:t>
      </w:r>
      <w:r w:rsidR="00311462">
        <w:rPr>
          <w:rFonts w:eastAsia="Calibri" w:cstheme="minorHAnsi"/>
          <w:b/>
          <w:bCs/>
          <w:i/>
          <w:color w:val="002060"/>
          <w:sz w:val="24"/>
          <w:szCs w:val="24"/>
        </w:rPr>
        <w:t>If you have ideas about how to make this reporting less burdensome and more meaningful, please comment!</w:t>
      </w:r>
      <w:r>
        <w:rPr>
          <w:rFonts w:eastAsia="Calibri" w:cstheme="minorHAnsi"/>
          <w:b/>
          <w:bCs/>
          <w:i/>
          <w:color w:val="002060"/>
          <w:sz w:val="24"/>
          <w:szCs w:val="24"/>
        </w:rPr>
        <w:t xml:space="preserve"> </w:t>
      </w:r>
    </w:p>
    <w:p w14:paraId="24B78DF8" w14:textId="77777777" w:rsidR="00367E0D" w:rsidRDefault="00367E0D" w:rsidP="0042460B">
      <w:pPr>
        <w:tabs>
          <w:tab w:val="left" w:pos="7284"/>
        </w:tabs>
        <w:spacing w:before="120" w:after="120" w:line="259" w:lineRule="auto"/>
        <w:rPr>
          <w:rFonts w:eastAsia="Calibri" w:cstheme="minorHAnsi"/>
          <w:b/>
          <w:bCs/>
          <w:i/>
          <w:color w:val="000000" w:themeColor="text1"/>
          <w:sz w:val="24"/>
          <w:szCs w:val="24"/>
        </w:rPr>
      </w:pPr>
    </w:p>
    <w:p w14:paraId="36B97A7D" w14:textId="1C452C0C" w:rsidR="0042460B" w:rsidRPr="0077105F" w:rsidRDefault="0085208E" w:rsidP="0042460B">
      <w:pPr>
        <w:tabs>
          <w:tab w:val="left" w:pos="7284"/>
        </w:tabs>
        <w:spacing w:before="120" w:after="120" w:line="259" w:lineRule="auto"/>
        <w:rPr>
          <w:rFonts w:eastAsia="Calibri" w:cstheme="minorHAnsi"/>
          <w:b/>
          <w:bCs/>
          <w:i/>
          <w:color w:val="000000" w:themeColor="text1"/>
          <w:sz w:val="24"/>
          <w:szCs w:val="24"/>
        </w:rPr>
      </w:pPr>
      <w:r w:rsidRPr="00361D9A">
        <w:rPr>
          <w:rFonts w:eastAsia="Calibri" w:cstheme="minorHAnsi"/>
          <w:b/>
          <w:bCs/>
          <w:i/>
          <w:color w:val="000000" w:themeColor="text1"/>
          <w:sz w:val="24"/>
          <w:szCs w:val="24"/>
        </w:rPr>
        <w:t xml:space="preserve">FDIC and Fed Request Information on the Use and Impact of CAMELS Ratings </w:t>
      </w:r>
      <w:r w:rsidR="0042460B" w:rsidRPr="00361D9A">
        <w:rPr>
          <w:rFonts w:eastAsia="Calibri" w:cstheme="minorHAnsi"/>
          <w:b/>
          <w:bCs/>
          <w:i/>
          <w:color w:val="000000" w:themeColor="text1"/>
          <w:sz w:val="24"/>
          <w:szCs w:val="24"/>
        </w:rPr>
        <w:t>(</w:t>
      </w:r>
      <w:r w:rsidRPr="00361D9A">
        <w:rPr>
          <w:rFonts w:eastAsia="Calibri" w:cstheme="minorHAnsi"/>
          <w:b/>
          <w:bCs/>
          <w:i/>
          <w:color w:val="000000" w:themeColor="text1"/>
          <w:sz w:val="24"/>
          <w:szCs w:val="24"/>
        </w:rPr>
        <w:t>10</w:t>
      </w:r>
      <w:r w:rsidR="0042460B" w:rsidRPr="00361D9A">
        <w:rPr>
          <w:rFonts w:eastAsia="Calibri" w:cstheme="minorHAnsi"/>
          <w:b/>
          <w:bCs/>
          <w:i/>
          <w:color w:val="000000" w:themeColor="text1"/>
          <w:sz w:val="24"/>
          <w:szCs w:val="24"/>
        </w:rPr>
        <w:t>.</w:t>
      </w:r>
      <w:r w:rsidRPr="00361D9A">
        <w:rPr>
          <w:rFonts w:eastAsia="Calibri" w:cstheme="minorHAnsi"/>
          <w:b/>
          <w:bCs/>
          <w:i/>
          <w:color w:val="000000" w:themeColor="text1"/>
          <w:sz w:val="24"/>
          <w:szCs w:val="24"/>
        </w:rPr>
        <w:t>18</w:t>
      </w:r>
      <w:r w:rsidR="0042460B" w:rsidRPr="00361D9A">
        <w:rPr>
          <w:rFonts w:eastAsia="Calibri" w:cstheme="minorHAnsi"/>
          <w:b/>
          <w:bCs/>
          <w:i/>
          <w:color w:val="000000" w:themeColor="text1"/>
          <w:sz w:val="24"/>
          <w:szCs w:val="24"/>
        </w:rPr>
        <w:t>.2019</w:t>
      </w:r>
      <w:r w:rsidR="0042460B" w:rsidRPr="0077105F">
        <w:rPr>
          <w:rFonts w:eastAsia="Calibri" w:cstheme="minorHAnsi"/>
          <w:b/>
          <w:bCs/>
          <w:i/>
          <w:color w:val="000000" w:themeColor="text1"/>
          <w:sz w:val="24"/>
          <w:szCs w:val="24"/>
        </w:rPr>
        <w:t>)</w:t>
      </w:r>
      <w:r w:rsidR="0042460B">
        <w:rPr>
          <w:rFonts w:eastAsia="Calibri" w:cstheme="minorHAnsi"/>
          <w:b/>
          <w:bCs/>
          <w:i/>
          <w:color w:val="000000" w:themeColor="text1"/>
          <w:sz w:val="24"/>
          <w:szCs w:val="24"/>
        </w:rPr>
        <w:t xml:space="preserve"> </w:t>
      </w:r>
      <w:r>
        <w:rPr>
          <w:rFonts w:eastAsia="Calibri" w:cstheme="minorHAnsi"/>
          <w:b/>
          <w:bCs/>
          <w:i/>
          <w:noProof/>
          <w:color w:val="000000" w:themeColor="text1"/>
          <w:sz w:val="24"/>
          <w:szCs w:val="24"/>
        </w:rPr>
        <w:drawing>
          <wp:inline distT="0" distB="0" distL="0" distR="0" wp14:anchorId="072005B1" wp14:editId="1E2A5AF9">
            <wp:extent cx="274320" cy="21971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 cy="219710"/>
                    </a:xfrm>
                    <a:prstGeom prst="rect">
                      <a:avLst/>
                    </a:prstGeom>
                    <a:noFill/>
                  </pic:spPr>
                </pic:pic>
              </a:graphicData>
            </a:graphic>
          </wp:inline>
        </w:drawing>
      </w:r>
    </w:p>
    <w:p w14:paraId="518254F1" w14:textId="1066765A" w:rsidR="0085208E" w:rsidRPr="0085208E" w:rsidRDefault="0085208E" w:rsidP="0085208E">
      <w:pPr>
        <w:spacing w:before="120" w:after="120" w:line="259" w:lineRule="auto"/>
        <w:rPr>
          <w:rFonts w:ascii="Calibri" w:eastAsia="Calibri" w:hAnsi="Calibri" w:cs="Arial"/>
          <w:color w:val="101820"/>
          <w:sz w:val="24"/>
          <w:szCs w:val="24"/>
        </w:rPr>
      </w:pPr>
      <w:r w:rsidRPr="0085208E">
        <w:rPr>
          <w:rFonts w:ascii="Calibri" w:eastAsia="Calibri" w:hAnsi="Calibri" w:cs="Arial"/>
          <w:color w:val="101820"/>
          <w:sz w:val="24"/>
          <w:szCs w:val="24"/>
        </w:rPr>
        <w:t>In keeping with ongoing initiatives to increase transparency and improve efficiency, the Federal Deposit Insurance Corporation and Federal Reserve Board are inviting public comment on their use of the Uniform Financial Institutions Rating System, also known as the CAMELS rating system.</w:t>
      </w:r>
    </w:p>
    <w:p w14:paraId="24FB7096" w14:textId="45D71391" w:rsidR="0085208E" w:rsidRPr="0085208E" w:rsidRDefault="0085208E" w:rsidP="0085208E">
      <w:pPr>
        <w:spacing w:before="120" w:after="120" w:line="259" w:lineRule="auto"/>
        <w:rPr>
          <w:rFonts w:ascii="Calibri" w:eastAsia="Calibri" w:hAnsi="Calibri" w:cs="Arial"/>
          <w:color w:val="101820"/>
          <w:sz w:val="24"/>
          <w:szCs w:val="24"/>
        </w:rPr>
      </w:pPr>
      <w:r w:rsidRPr="0085208E">
        <w:rPr>
          <w:rFonts w:ascii="Calibri" w:eastAsia="Calibri" w:hAnsi="Calibri" w:cs="Arial"/>
          <w:color w:val="101820"/>
          <w:sz w:val="24"/>
          <w:szCs w:val="24"/>
        </w:rPr>
        <w:lastRenderedPageBreak/>
        <w:t>The agencies seek comments on the consistency of ratings assigned under the CAMELS system. The agencies are also interested in comments concerning how they use CAMELS ratings in enforcement actions and in reviewing bank applications.</w:t>
      </w:r>
    </w:p>
    <w:p w14:paraId="6EA4D804" w14:textId="67167658" w:rsidR="0085208E" w:rsidRPr="0085208E" w:rsidRDefault="0085208E" w:rsidP="0085208E">
      <w:pPr>
        <w:spacing w:before="120" w:after="120" w:line="259" w:lineRule="auto"/>
        <w:rPr>
          <w:rFonts w:ascii="Calibri" w:eastAsia="Calibri" w:hAnsi="Calibri" w:cs="Arial"/>
          <w:color w:val="101820"/>
          <w:sz w:val="24"/>
          <w:szCs w:val="24"/>
        </w:rPr>
      </w:pPr>
      <w:r w:rsidRPr="0085208E">
        <w:rPr>
          <w:rFonts w:ascii="Calibri" w:eastAsia="Calibri" w:hAnsi="Calibri" w:cs="Arial"/>
          <w:color w:val="101820"/>
          <w:sz w:val="24"/>
          <w:szCs w:val="24"/>
        </w:rPr>
        <w:t>The agencies' outreach on CAMELS ratings is consistent with their commitment to provide opportunities for public feedback on issues affecting supervised institutions.</w:t>
      </w:r>
    </w:p>
    <w:p w14:paraId="694A6B1E" w14:textId="63C6F18C" w:rsidR="0085208E" w:rsidRPr="0085208E" w:rsidRDefault="0085208E" w:rsidP="0085208E">
      <w:pPr>
        <w:spacing w:before="120" w:after="120" w:line="259" w:lineRule="auto"/>
        <w:rPr>
          <w:rFonts w:ascii="Calibri" w:eastAsia="Calibri" w:hAnsi="Calibri" w:cs="Arial"/>
          <w:color w:val="101820"/>
          <w:sz w:val="24"/>
          <w:szCs w:val="24"/>
        </w:rPr>
      </w:pPr>
      <w:r w:rsidRPr="0085208E">
        <w:rPr>
          <w:rFonts w:ascii="Calibri" w:eastAsia="Calibri" w:hAnsi="Calibri" w:cs="Arial"/>
          <w:color w:val="101820"/>
          <w:sz w:val="24"/>
          <w:szCs w:val="24"/>
        </w:rPr>
        <w:t>Because comments will be made public, submitters should not include confidential rating and examination information. Comments will be accepted for 60 days after publication of the agencies' request for information in the Federal Register.</w:t>
      </w:r>
    </w:p>
    <w:p w14:paraId="66FC3B1B" w14:textId="77777777" w:rsidR="0085208E" w:rsidRPr="0085208E" w:rsidRDefault="0085208E" w:rsidP="0085208E">
      <w:pPr>
        <w:spacing w:before="120" w:after="120" w:line="259" w:lineRule="auto"/>
        <w:rPr>
          <w:rFonts w:ascii="Calibri" w:eastAsia="Calibri" w:hAnsi="Calibri" w:cs="Arial"/>
          <w:color w:val="101820"/>
          <w:sz w:val="24"/>
          <w:szCs w:val="24"/>
        </w:rPr>
      </w:pPr>
      <w:r w:rsidRPr="0085208E">
        <w:rPr>
          <w:rFonts w:ascii="Calibri" w:eastAsia="Calibri" w:hAnsi="Calibri" w:cs="Arial"/>
          <w:color w:val="101820"/>
          <w:sz w:val="24"/>
          <w:szCs w:val="24"/>
        </w:rPr>
        <w:t>Attachment:</w:t>
      </w:r>
    </w:p>
    <w:p w14:paraId="04572731" w14:textId="1B3D0E8A" w:rsidR="0085208E" w:rsidRDefault="00E5154D" w:rsidP="0085208E">
      <w:pPr>
        <w:spacing w:before="120" w:after="120" w:line="259" w:lineRule="auto"/>
        <w:rPr>
          <w:rFonts w:ascii="Calibri" w:eastAsia="Calibri" w:hAnsi="Calibri" w:cs="Arial"/>
          <w:color w:val="101820"/>
          <w:sz w:val="24"/>
          <w:szCs w:val="24"/>
        </w:rPr>
      </w:pPr>
      <w:hyperlink r:id="rId13" w:history="1">
        <w:r w:rsidR="0085208E" w:rsidRPr="0085208E">
          <w:rPr>
            <w:rStyle w:val="Hyperlink"/>
            <w:rFonts w:ascii="Calibri" w:eastAsia="Calibri" w:hAnsi="Calibri" w:cs="Arial"/>
            <w:sz w:val="24"/>
            <w:szCs w:val="24"/>
          </w:rPr>
          <w:t>Request for Information on Application of the Uniform Financial Institutions Rating System</w:t>
        </w:r>
      </w:hyperlink>
    </w:p>
    <w:p w14:paraId="10FEC3D5" w14:textId="7C1796BF" w:rsidR="0042460B" w:rsidRDefault="0042460B" w:rsidP="0085208E">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14" w:history="1">
        <w:r w:rsidRPr="0085208E">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18AB7D93" w14:textId="2322F867" w:rsidR="0042460B" w:rsidRDefault="0042460B" w:rsidP="0042460B">
      <w:pPr>
        <w:spacing w:before="120" w:after="120" w:line="259" w:lineRule="auto"/>
        <w:rPr>
          <w:rFonts w:eastAsia="Calibri" w:cstheme="minorHAnsi"/>
          <w:b/>
          <w:bCs/>
          <w:i/>
          <w:color w:val="002060"/>
          <w:sz w:val="24"/>
          <w:szCs w:val="24"/>
        </w:rPr>
      </w:pPr>
      <w:r w:rsidRPr="0077105F">
        <w:rPr>
          <w:rFonts w:eastAsia="Calibri" w:cstheme="minorHAnsi"/>
          <w:b/>
          <w:bCs/>
          <w:i/>
          <w:color w:val="002060"/>
          <w:sz w:val="24"/>
          <w:szCs w:val="24"/>
        </w:rPr>
        <w:t xml:space="preserve">Comment: </w:t>
      </w:r>
      <w:r w:rsidR="00A93DE4" w:rsidRPr="00A93DE4">
        <w:rPr>
          <w:rFonts w:eastAsia="Calibri" w:cstheme="minorHAnsi"/>
          <w:b/>
          <w:bCs/>
          <w:i/>
          <w:color w:val="002060"/>
          <w:sz w:val="24"/>
          <w:szCs w:val="24"/>
        </w:rPr>
        <w:t>The release specifically states that it is not a proposal to modify the CAMELS system, noting that CAMELS is a product of the Federal Financial Institutions Examination Council.</w:t>
      </w:r>
    </w:p>
    <w:p w14:paraId="7B1B22AE" w14:textId="77777777" w:rsidR="00D47B7B" w:rsidRDefault="00D47B7B" w:rsidP="001C22F0">
      <w:pPr>
        <w:tabs>
          <w:tab w:val="left" w:pos="7284"/>
        </w:tabs>
        <w:spacing w:before="120" w:after="120" w:line="259" w:lineRule="auto"/>
        <w:rPr>
          <w:rFonts w:eastAsia="Calibri" w:cstheme="minorHAnsi"/>
          <w:b/>
          <w:bCs/>
          <w:i/>
          <w:color w:val="000000" w:themeColor="text1"/>
          <w:sz w:val="24"/>
          <w:szCs w:val="24"/>
        </w:rPr>
      </w:pPr>
    </w:p>
    <w:p w14:paraId="0B4A3F8D" w14:textId="44C2DB35" w:rsidR="006C2905" w:rsidRPr="00361D9A" w:rsidRDefault="006C2905" w:rsidP="006C2905">
      <w:pPr>
        <w:tabs>
          <w:tab w:val="left" w:pos="7284"/>
        </w:tabs>
        <w:spacing w:before="120" w:after="120" w:line="259" w:lineRule="auto"/>
        <w:rPr>
          <w:rFonts w:eastAsia="Calibri" w:cstheme="minorHAnsi"/>
          <w:b/>
          <w:bCs/>
          <w:i/>
          <w:color w:val="000000" w:themeColor="text1"/>
          <w:sz w:val="24"/>
          <w:szCs w:val="24"/>
        </w:rPr>
      </w:pPr>
      <w:bookmarkStart w:id="19" w:name="_Hlk22546025"/>
      <w:bookmarkStart w:id="20" w:name="_Hlk19462604"/>
      <w:r w:rsidRPr="00361D9A">
        <w:rPr>
          <w:rFonts w:eastAsia="Calibri" w:cstheme="minorHAnsi"/>
          <w:b/>
          <w:bCs/>
          <w:i/>
          <w:color w:val="000000" w:themeColor="text1"/>
          <w:sz w:val="24"/>
          <w:szCs w:val="24"/>
        </w:rPr>
        <w:t xml:space="preserve">Federal Regulators Seek Comment on Proposed Guidance for Credit Risk Review Systems (10.17.2019) </w:t>
      </w:r>
      <w:r w:rsidR="00190D0F" w:rsidRPr="00361D9A">
        <w:rPr>
          <w:rFonts w:eastAsia="Calibri" w:cstheme="minorHAnsi"/>
          <w:b/>
          <w:bCs/>
          <w:i/>
          <w:noProof/>
          <w:color w:val="000000" w:themeColor="text1"/>
          <w:sz w:val="24"/>
          <w:szCs w:val="24"/>
        </w:rPr>
        <w:drawing>
          <wp:inline distT="0" distB="0" distL="0" distR="0" wp14:anchorId="7F65823F" wp14:editId="63BC2ACD">
            <wp:extent cx="274320" cy="21971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4320" cy="219710"/>
                    </a:xfrm>
                    <a:prstGeom prst="rect">
                      <a:avLst/>
                    </a:prstGeom>
                    <a:noFill/>
                  </pic:spPr>
                </pic:pic>
              </a:graphicData>
            </a:graphic>
          </wp:inline>
        </w:drawing>
      </w:r>
    </w:p>
    <w:p w14:paraId="0DB4F7F4" w14:textId="77777777" w:rsidR="006C2905" w:rsidRPr="0022236C" w:rsidRDefault="006C2905" w:rsidP="006C2905">
      <w:pPr>
        <w:spacing w:before="120" w:after="120" w:line="259" w:lineRule="auto"/>
        <w:rPr>
          <w:rFonts w:ascii="Calibri" w:eastAsia="Calibri" w:hAnsi="Calibri" w:cs="Arial"/>
          <w:color w:val="101820"/>
          <w:sz w:val="24"/>
          <w:szCs w:val="24"/>
        </w:rPr>
      </w:pPr>
      <w:r w:rsidRPr="0022236C">
        <w:rPr>
          <w:rFonts w:ascii="Calibri" w:eastAsia="Calibri" w:hAnsi="Calibri" w:cs="Arial"/>
          <w:color w:val="101820"/>
          <w:sz w:val="24"/>
          <w:szCs w:val="24"/>
        </w:rPr>
        <w:t>The FDIC, the Federal Reserve, the Office of the Comptroller of the Currency, and the National Credit Union Administration (the Agencies) are seeking comment on proposed guidance for credit risk review systems. The proposed guidance discusses sound management of credit risk, a system of independent and ongoing credit review, and appropriate communication regarding the performance of the institution's loan portfolio to its management and board of directors. The proposed guidance updates, as a stand-alone document, the elements of an effective credit risk review system currently contained in the Interagency Policy Statement on the Allowance for Loan and Lease Losses (Attachment 1 - Loan Review Systems), issued in 2006.</w:t>
      </w:r>
    </w:p>
    <w:p w14:paraId="71801F14" w14:textId="77777777" w:rsidR="006C2905" w:rsidRPr="0022236C" w:rsidRDefault="006C2905" w:rsidP="006C2905">
      <w:pPr>
        <w:spacing w:before="120" w:after="120" w:line="259" w:lineRule="auto"/>
        <w:rPr>
          <w:rFonts w:ascii="Calibri" w:eastAsia="Calibri" w:hAnsi="Calibri" w:cs="Arial"/>
          <w:color w:val="101820"/>
          <w:sz w:val="24"/>
          <w:szCs w:val="24"/>
        </w:rPr>
      </w:pPr>
      <w:r w:rsidRPr="0022236C">
        <w:rPr>
          <w:rFonts w:ascii="Calibri" w:eastAsia="Calibri" w:hAnsi="Calibri" w:cs="Arial"/>
          <w:color w:val="101820"/>
          <w:sz w:val="24"/>
          <w:szCs w:val="24"/>
        </w:rPr>
        <w:t>Highlights:</w:t>
      </w:r>
    </w:p>
    <w:p w14:paraId="22AEA516" w14:textId="77777777" w:rsidR="006C2905" w:rsidRPr="0022236C" w:rsidRDefault="006C2905" w:rsidP="00190D0F">
      <w:pPr>
        <w:pStyle w:val="ListParagraph"/>
        <w:numPr>
          <w:ilvl w:val="0"/>
          <w:numId w:val="43"/>
        </w:numPr>
        <w:spacing w:before="120" w:after="120" w:line="259" w:lineRule="auto"/>
        <w:rPr>
          <w:rFonts w:ascii="Calibri" w:eastAsia="Calibri" w:hAnsi="Calibri" w:cs="Arial"/>
          <w:color w:val="101820"/>
        </w:rPr>
      </w:pPr>
      <w:r w:rsidRPr="0022236C">
        <w:rPr>
          <w:rFonts w:ascii="Calibri" w:eastAsia="Calibri" w:hAnsi="Calibri" w:cs="Arial"/>
          <w:color w:val="101820"/>
        </w:rPr>
        <w:t>FDIC-supervised institutions should "Establish a system of independent, ongoing credit review and appropriate communication to management and to the board of directors."1</w:t>
      </w:r>
    </w:p>
    <w:p w14:paraId="2100121D" w14:textId="77777777" w:rsidR="006C2905" w:rsidRPr="0022236C" w:rsidRDefault="006C2905" w:rsidP="00190D0F">
      <w:pPr>
        <w:pStyle w:val="ListParagraph"/>
        <w:numPr>
          <w:ilvl w:val="0"/>
          <w:numId w:val="43"/>
        </w:numPr>
        <w:spacing w:before="120" w:after="120" w:line="259" w:lineRule="auto"/>
        <w:rPr>
          <w:rFonts w:ascii="Calibri" w:eastAsia="Calibri" w:hAnsi="Calibri" w:cs="Arial"/>
          <w:color w:val="101820"/>
        </w:rPr>
      </w:pPr>
      <w:r w:rsidRPr="0022236C">
        <w:rPr>
          <w:rFonts w:ascii="Calibri" w:eastAsia="Calibri" w:hAnsi="Calibri" w:cs="Arial"/>
          <w:color w:val="101820"/>
        </w:rPr>
        <w:t>The proposed guidance aligns with the Interagency Guidelines Establishing Standards for Safety and Soundness for insured depository institutions.</w:t>
      </w:r>
    </w:p>
    <w:p w14:paraId="1AC3A333" w14:textId="77777777" w:rsidR="006C2905" w:rsidRPr="0022236C" w:rsidRDefault="006C2905" w:rsidP="00190D0F">
      <w:pPr>
        <w:pStyle w:val="ListParagraph"/>
        <w:numPr>
          <w:ilvl w:val="0"/>
          <w:numId w:val="43"/>
        </w:numPr>
        <w:spacing w:before="120" w:after="120" w:line="259" w:lineRule="auto"/>
        <w:rPr>
          <w:rFonts w:ascii="Calibri" w:eastAsia="Calibri" w:hAnsi="Calibri" w:cs="Arial"/>
          <w:color w:val="101820"/>
        </w:rPr>
      </w:pPr>
      <w:r w:rsidRPr="0022236C">
        <w:rPr>
          <w:rFonts w:ascii="Calibri" w:eastAsia="Calibri" w:hAnsi="Calibri" w:cs="Arial"/>
          <w:color w:val="101820"/>
        </w:rPr>
        <w:t>The proposed guidance updates and reaffirms the key elements of an effective credit risk review system contained in Attachment 1 – Loan Review Systems, including: qualifications and independence of credit risk review personnel; the frequency, scope, and depth of reviews; and the review, follow-up, communication, and distribution of results.</w:t>
      </w:r>
    </w:p>
    <w:p w14:paraId="5E58AC00" w14:textId="77777777" w:rsidR="006C2905" w:rsidRPr="0022236C" w:rsidRDefault="006C2905" w:rsidP="00190D0F">
      <w:pPr>
        <w:pStyle w:val="ListParagraph"/>
        <w:numPr>
          <w:ilvl w:val="0"/>
          <w:numId w:val="43"/>
        </w:numPr>
        <w:spacing w:before="120" w:after="120" w:line="259" w:lineRule="auto"/>
        <w:rPr>
          <w:rFonts w:ascii="Calibri" w:eastAsia="Calibri" w:hAnsi="Calibri" w:cs="Arial"/>
          <w:color w:val="101820"/>
        </w:rPr>
      </w:pPr>
      <w:r w:rsidRPr="0022236C">
        <w:rPr>
          <w:rFonts w:ascii="Calibri" w:eastAsia="Calibri" w:hAnsi="Calibri" w:cs="Arial"/>
          <w:color w:val="101820"/>
        </w:rPr>
        <w:t>The proposed guidance includes updates to reflect current industry credit review practices as well as terminology to align with the "current expected credit losses" (CECL) methodology.</w:t>
      </w:r>
    </w:p>
    <w:p w14:paraId="0ACB58FD" w14:textId="77777777" w:rsidR="006C2905" w:rsidRPr="0022236C" w:rsidRDefault="006C2905" w:rsidP="00190D0F">
      <w:pPr>
        <w:pStyle w:val="ListParagraph"/>
        <w:numPr>
          <w:ilvl w:val="0"/>
          <w:numId w:val="43"/>
        </w:numPr>
        <w:spacing w:before="120" w:after="120" w:line="259" w:lineRule="auto"/>
        <w:rPr>
          <w:rFonts w:ascii="Calibri" w:eastAsia="Calibri" w:hAnsi="Calibri" w:cs="Arial"/>
          <w:color w:val="101820"/>
        </w:rPr>
      </w:pPr>
      <w:r w:rsidRPr="0022236C">
        <w:rPr>
          <w:rFonts w:ascii="Calibri" w:eastAsia="Calibri" w:hAnsi="Calibri" w:cs="Arial"/>
          <w:color w:val="101820"/>
        </w:rPr>
        <w:t>The extent to which the principles discussed in the proposed guidance are applicable depend on an institution's size, complexity, loan type, risk profile, and risk management practices.</w:t>
      </w:r>
    </w:p>
    <w:p w14:paraId="3621A559" w14:textId="77777777" w:rsidR="006C2905" w:rsidRPr="0022236C" w:rsidRDefault="006C2905" w:rsidP="00190D0F">
      <w:pPr>
        <w:pStyle w:val="ListParagraph"/>
        <w:numPr>
          <w:ilvl w:val="0"/>
          <w:numId w:val="43"/>
        </w:numPr>
        <w:spacing w:before="120" w:after="120" w:line="259" w:lineRule="auto"/>
        <w:rPr>
          <w:rFonts w:ascii="Calibri" w:eastAsia="Calibri" w:hAnsi="Calibri" w:cs="Arial"/>
          <w:color w:val="101820"/>
        </w:rPr>
      </w:pPr>
      <w:r w:rsidRPr="0022236C">
        <w:rPr>
          <w:rFonts w:ascii="Calibri" w:eastAsia="Calibri" w:hAnsi="Calibri" w:cs="Arial"/>
          <w:color w:val="101820"/>
        </w:rPr>
        <w:t>The proposed guidance will be issued as a stand-alone document, and not part of loan loss reserve guidance, to highlight the important role of credit risk review systems in an institution's overall risk management program.</w:t>
      </w:r>
    </w:p>
    <w:p w14:paraId="43D10D17" w14:textId="77777777" w:rsidR="006C2905" w:rsidRPr="0022236C" w:rsidRDefault="006C2905" w:rsidP="006C2905">
      <w:pPr>
        <w:spacing w:before="120" w:after="120" w:line="259" w:lineRule="auto"/>
        <w:rPr>
          <w:rFonts w:ascii="Calibri" w:eastAsia="Calibri" w:hAnsi="Calibri" w:cs="Arial"/>
          <w:color w:val="101820"/>
          <w:sz w:val="24"/>
          <w:szCs w:val="24"/>
        </w:rPr>
      </w:pPr>
      <w:r w:rsidRPr="0022236C">
        <w:rPr>
          <w:rFonts w:ascii="Calibri" w:eastAsia="Calibri" w:hAnsi="Calibri" w:cs="Arial"/>
          <w:color w:val="101820"/>
          <w:sz w:val="24"/>
          <w:szCs w:val="24"/>
        </w:rPr>
        <w:t>Comments will be accepted for 60 days after publication in the Federal Register.</w:t>
      </w:r>
    </w:p>
    <w:p w14:paraId="4C7B5D35" w14:textId="77777777" w:rsidR="00190D0F" w:rsidRPr="0022236C" w:rsidRDefault="00190D0F" w:rsidP="00190D0F">
      <w:pPr>
        <w:spacing w:before="120" w:after="120" w:line="259" w:lineRule="auto"/>
        <w:rPr>
          <w:rFonts w:ascii="Calibri" w:eastAsia="Calibri" w:hAnsi="Calibri" w:cs="Arial"/>
          <w:color w:val="101820"/>
          <w:sz w:val="24"/>
          <w:szCs w:val="24"/>
        </w:rPr>
      </w:pPr>
      <w:r w:rsidRPr="0022236C">
        <w:rPr>
          <w:rFonts w:ascii="Calibri" w:eastAsia="Calibri" w:hAnsi="Calibri" w:cs="Arial"/>
          <w:color w:val="101820"/>
          <w:sz w:val="24"/>
          <w:szCs w:val="24"/>
        </w:rPr>
        <w:lastRenderedPageBreak/>
        <w:t>Related Topics:</w:t>
      </w:r>
    </w:p>
    <w:p w14:paraId="09E39E4D" w14:textId="6541F355" w:rsidR="00190D0F" w:rsidRPr="0022236C" w:rsidRDefault="00E5154D" w:rsidP="00190D0F">
      <w:pPr>
        <w:spacing w:before="120" w:after="120" w:line="259" w:lineRule="auto"/>
        <w:rPr>
          <w:rFonts w:ascii="Calibri" w:eastAsia="Calibri" w:hAnsi="Calibri" w:cs="Arial"/>
          <w:color w:val="0000FF"/>
          <w:sz w:val="24"/>
          <w:szCs w:val="24"/>
          <w:u w:val="single"/>
        </w:rPr>
      </w:pPr>
      <w:hyperlink r:id="rId16" w:anchor="fdic2000appendixatopart364" w:history="1">
        <w:r w:rsidR="00190D0F" w:rsidRPr="0022236C">
          <w:rPr>
            <w:rStyle w:val="Hyperlink"/>
            <w:rFonts w:ascii="Calibri" w:eastAsia="Calibri" w:hAnsi="Calibri" w:cs="Arial"/>
            <w:sz w:val="24"/>
            <w:szCs w:val="24"/>
          </w:rPr>
          <w:t>Appendix A to Part 364—Interagency Guidelines Establishing Standards for Safety and Soundness Interagency Policy Statement on the Allowance for Loan and Lease Losses</w:t>
        </w:r>
      </w:hyperlink>
    </w:p>
    <w:p w14:paraId="7C3CAB2A" w14:textId="77777777" w:rsidR="00190D0F" w:rsidRPr="0022236C" w:rsidRDefault="00190D0F" w:rsidP="00190D0F">
      <w:pPr>
        <w:spacing w:before="120" w:after="120" w:line="259" w:lineRule="auto"/>
        <w:rPr>
          <w:rFonts w:ascii="Calibri" w:eastAsia="Calibri" w:hAnsi="Calibri" w:cs="Arial"/>
          <w:color w:val="101820"/>
          <w:sz w:val="24"/>
          <w:szCs w:val="24"/>
        </w:rPr>
      </w:pPr>
      <w:r w:rsidRPr="0022236C">
        <w:rPr>
          <w:rFonts w:ascii="Calibri" w:eastAsia="Calibri" w:hAnsi="Calibri" w:cs="Arial"/>
          <w:color w:val="101820"/>
          <w:sz w:val="24"/>
          <w:szCs w:val="24"/>
        </w:rPr>
        <w:t>Attachment:</w:t>
      </w:r>
    </w:p>
    <w:p w14:paraId="3FDDB6E2" w14:textId="03F89EDF" w:rsidR="00190D0F" w:rsidRPr="0022236C" w:rsidRDefault="00E5154D" w:rsidP="00190D0F">
      <w:pPr>
        <w:spacing w:before="120" w:after="120" w:line="259" w:lineRule="auto"/>
        <w:rPr>
          <w:rFonts w:ascii="Calibri" w:eastAsia="Calibri" w:hAnsi="Calibri" w:cs="Arial"/>
          <w:color w:val="101820"/>
          <w:sz w:val="24"/>
          <w:szCs w:val="24"/>
        </w:rPr>
      </w:pPr>
      <w:hyperlink r:id="rId17" w:history="1">
        <w:r w:rsidR="00190D0F" w:rsidRPr="0022236C">
          <w:rPr>
            <w:rStyle w:val="Hyperlink"/>
            <w:rFonts w:ascii="Calibri" w:eastAsia="Calibri" w:hAnsi="Calibri" w:cs="Arial"/>
            <w:sz w:val="24"/>
            <w:szCs w:val="24"/>
          </w:rPr>
          <w:t>Proposed Interagency Guidance on Credit Risk Review Systems</w:t>
        </w:r>
      </w:hyperlink>
    </w:p>
    <w:p w14:paraId="2BD792C5" w14:textId="681131FE" w:rsidR="006C2905" w:rsidRPr="0022236C" w:rsidRDefault="006C2905" w:rsidP="00190D0F">
      <w:pPr>
        <w:spacing w:before="120" w:after="120" w:line="259" w:lineRule="auto"/>
        <w:rPr>
          <w:rFonts w:eastAsia="Calibri" w:cstheme="minorHAnsi"/>
          <w:bCs/>
          <w:color w:val="000000"/>
          <w:sz w:val="24"/>
          <w:szCs w:val="24"/>
        </w:rPr>
      </w:pPr>
      <w:r w:rsidRPr="0022236C">
        <w:rPr>
          <w:rFonts w:eastAsia="Calibri" w:cstheme="minorHAnsi"/>
          <w:b/>
          <w:bCs/>
          <w:color w:val="000000"/>
          <w:sz w:val="24"/>
          <w:szCs w:val="24"/>
        </w:rPr>
        <w:t>Source</w:t>
      </w:r>
      <w:r w:rsidRPr="0022236C">
        <w:rPr>
          <w:rFonts w:eastAsia="Calibri" w:cstheme="minorHAnsi"/>
          <w:bCs/>
          <w:color w:val="000000"/>
          <w:sz w:val="24"/>
          <w:szCs w:val="24"/>
        </w:rPr>
        <w:t xml:space="preserve"> </w:t>
      </w:r>
      <w:hyperlink r:id="rId18" w:history="1">
        <w:r w:rsidRPr="0022236C">
          <w:rPr>
            <w:rStyle w:val="Hyperlink"/>
            <w:rFonts w:eastAsia="Calibri" w:cstheme="minorHAnsi"/>
            <w:sz w:val="24"/>
            <w:szCs w:val="24"/>
          </w:rPr>
          <w:t>link</w:t>
        </w:r>
      </w:hyperlink>
      <w:r w:rsidRPr="0022236C">
        <w:rPr>
          <w:rFonts w:eastAsia="Calibri" w:cstheme="minorHAnsi"/>
          <w:bCs/>
          <w:color w:val="000000"/>
          <w:sz w:val="24"/>
          <w:szCs w:val="24"/>
        </w:rPr>
        <w:t xml:space="preserve">. </w:t>
      </w:r>
    </w:p>
    <w:p w14:paraId="08264C7D" w14:textId="461CA54F" w:rsidR="006C2905" w:rsidRDefault="006C2905" w:rsidP="006C2905">
      <w:pPr>
        <w:spacing w:before="120" w:after="120" w:line="259" w:lineRule="auto"/>
        <w:rPr>
          <w:rFonts w:eastAsia="Calibri" w:cstheme="minorHAnsi"/>
          <w:b/>
          <w:bCs/>
          <w:i/>
          <w:color w:val="002060"/>
          <w:sz w:val="24"/>
          <w:szCs w:val="24"/>
        </w:rPr>
      </w:pPr>
      <w:r w:rsidRPr="0022236C">
        <w:rPr>
          <w:rFonts w:eastAsia="Calibri" w:cstheme="minorHAnsi"/>
          <w:b/>
          <w:bCs/>
          <w:i/>
          <w:color w:val="002060"/>
          <w:sz w:val="24"/>
          <w:szCs w:val="24"/>
        </w:rPr>
        <w:t xml:space="preserve">Comment: </w:t>
      </w:r>
      <w:r w:rsidR="00311462" w:rsidRPr="0022236C">
        <w:rPr>
          <w:rFonts w:eastAsia="Calibri" w:cstheme="minorHAnsi"/>
          <w:b/>
          <w:bCs/>
          <w:i/>
          <w:color w:val="002060"/>
          <w:sz w:val="24"/>
          <w:szCs w:val="24"/>
        </w:rPr>
        <w:t>Meanwhile, FASB has extended the implementation date for CECL until 2023 for most non-publicly traded institutions.</w:t>
      </w:r>
      <w:r>
        <w:rPr>
          <w:rFonts w:eastAsia="Calibri" w:cstheme="minorHAnsi"/>
          <w:b/>
          <w:bCs/>
          <w:i/>
          <w:color w:val="002060"/>
          <w:sz w:val="24"/>
          <w:szCs w:val="24"/>
        </w:rPr>
        <w:t xml:space="preserve"> </w:t>
      </w:r>
      <w:r w:rsidR="004E7F52" w:rsidRPr="004E7F52">
        <w:rPr>
          <w:rFonts w:eastAsia="Calibri" w:cstheme="minorHAnsi"/>
          <w:b/>
          <w:bCs/>
          <w:i/>
          <w:color w:val="002060"/>
          <w:sz w:val="24"/>
          <w:szCs w:val="24"/>
        </w:rPr>
        <w:t>Specifically, small public lenders, public lenders that don’t file with the Securities and Exchange Commission, and private and nonprofit lenders will now have until 2023 to implement CECL.</w:t>
      </w:r>
    </w:p>
    <w:bookmarkEnd w:id="19"/>
    <w:p w14:paraId="63986F7D" w14:textId="77777777" w:rsidR="006C2905" w:rsidRDefault="006C2905" w:rsidP="001C22F0">
      <w:pPr>
        <w:tabs>
          <w:tab w:val="left" w:pos="7284"/>
        </w:tabs>
        <w:spacing w:before="120" w:after="120" w:line="259" w:lineRule="auto"/>
        <w:rPr>
          <w:rFonts w:eastAsia="Calibri" w:cstheme="minorHAnsi"/>
          <w:b/>
          <w:bCs/>
          <w:i/>
          <w:color w:val="000000" w:themeColor="text1"/>
          <w:sz w:val="24"/>
          <w:szCs w:val="24"/>
        </w:rPr>
      </w:pPr>
    </w:p>
    <w:p w14:paraId="238F914F" w14:textId="40E31B3B" w:rsidR="001C22F0" w:rsidRPr="0077105F" w:rsidRDefault="0085208E" w:rsidP="001C22F0">
      <w:pPr>
        <w:tabs>
          <w:tab w:val="left" w:pos="7284"/>
        </w:tabs>
        <w:spacing w:before="120" w:after="120" w:line="259" w:lineRule="auto"/>
        <w:rPr>
          <w:rFonts w:eastAsia="Calibri" w:cstheme="minorHAnsi"/>
          <w:b/>
          <w:bCs/>
          <w:i/>
          <w:color w:val="000000" w:themeColor="text1"/>
          <w:sz w:val="24"/>
          <w:szCs w:val="24"/>
        </w:rPr>
      </w:pPr>
      <w:r w:rsidRPr="00ED41C9">
        <w:rPr>
          <w:rFonts w:eastAsia="Calibri" w:cstheme="minorHAnsi"/>
          <w:b/>
          <w:bCs/>
          <w:i/>
          <w:color w:val="000000" w:themeColor="text1"/>
          <w:sz w:val="24"/>
          <w:szCs w:val="24"/>
        </w:rPr>
        <w:t xml:space="preserve">Federal Financial Regulatory Agencies Seek Comment on Proposed Interagency Policy Statement on Allowances for Credit Losses and Proposed Interagency Guidance on Credit Risk Review Systems </w:t>
      </w:r>
      <w:r w:rsidR="001C22F0" w:rsidRPr="00ED41C9">
        <w:rPr>
          <w:rFonts w:eastAsia="Calibri" w:cstheme="minorHAnsi"/>
          <w:b/>
          <w:bCs/>
          <w:i/>
          <w:color w:val="000000" w:themeColor="text1"/>
          <w:sz w:val="24"/>
          <w:szCs w:val="24"/>
        </w:rPr>
        <w:t>(</w:t>
      </w:r>
      <w:r w:rsidRPr="00ED41C9">
        <w:rPr>
          <w:rFonts w:eastAsia="Calibri" w:cstheme="minorHAnsi"/>
          <w:b/>
          <w:bCs/>
          <w:i/>
          <w:color w:val="000000" w:themeColor="text1"/>
          <w:sz w:val="24"/>
          <w:szCs w:val="24"/>
        </w:rPr>
        <w:t>10</w:t>
      </w:r>
      <w:r w:rsidR="001C22F0" w:rsidRPr="00ED41C9">
        <w:rPr>
          <w:rFonts w:eastAsia="Calibri" w:cstheme="minorHAnsi"/>
          <w:b/>
          <w:bCs/>
          <w:i/>
          <w:color w:val="000000" w:themeColor="text1"/>
          <w:sz w:val="24"/>
          <w:szCs w:val="24"/>
        </w:rPr>
        <w:t>.</w:t>
      </w:r>
      <w:r w:rsidRPr="00ED41C9">
        <w:rPr>
          <w:rFonts w:eastAsia="Calibri" w:cstheme="minorHAnsi"/>
          <w:b/>
          <w:bCs/>
          <w:i/>
          <w:color w:val="000000" w:themeColor="text1"/>
          <w:sz w:val="24"/>
          <w:szCs w:val="24"/>
        </w:rPr>
        <w:t>17</w:t>
      </w:r>
      <w:r w:rsidR="001C22F0" w:rsidRPr="00ED41C9">
        <w:rPr>
          <w:rFonts w:eastAsia="Calibri" w:cstheme="minorHAnsi"/>
          <w:b/>
          <w:bCs/>
          <w:i/>
          <w:color w:val="000000" w:themeColor="text1"/>
          <w:sz w:val="24"/>
          <w:szCs w:val="24"/>
        </w:rPr>
        <w:t xml:space="preserve">.2019) </w:t>
      </w:r>
      <w:r w:rsidRPr="00ED41C9">
        <w:rPr>
          <w:rFonts w:eastAsia="Calibri" w:cstheme="minorHAnsi"/>
          <w:b/>
          <w:bCs/>
          <w:i/>
          <w:noProof/>
          <w:color w:val="000000" w:themeColor="text1"/>
          <w:sz w:val="24"/>
          <w:szCs w:val="24"/>
        </w:rPr>
        <w:drawing>
          <wp:inline distT="0" distB="0" distL="0" distR="0" wp14:anchorId="7C2E5E0A" wp14:editId="7BE26B00">
            <wp:extent cx="274320" cy="219710"/>
            <wp:effectExtent l="0" t="0" r="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4320" cy="219710"/>
                    </a:xfrm>
                    <a:prstGeom prst="rect">
                      <a:avLst/>
                    </a:prstGeom>
                    <a:noFill/>
                  </pic:spPr>
                </pic:pic>
              </a:graphicData>
            </a:graphic>
          </wp:inline>
        </w:drawing>
      </w:r>
    </w:p>
    <w:p w14:paraId="758EE20F" w14:textId="60AFDE4A" w:rsidR="0085208E" w:rsidRPr="0085208E" w:rsidRDefault="0085208E" w:rsidP="0085208E">
      <w:pPr>
        <w:spacing w:before="120" w:after="120" w:line="259" w:lineRule="auto"/>
        <w:rPr>
          <w:rFonts w:ascii="Calibri" w:eastAsia="Calibri" w:hAnsi="Calibri" w:cs="Arial"/>
          <w:color w:val="101820"/>
          <w:sz w:val="24"/>
          <w:szCs w:val="24"/>
        </w:rPr>
      </w:pPr>
      <w:r w:rsidRPr="0085208E">
        <w:rPr>
          <w:rFonts w:ascii="Calibri" w:eastAsia="Calibri" w:hAnsi="Calibri" w:cs="Arial"/>
          <w:color w:val="101820"/>
          <w:sz w:val="24"/>
          <w:szCs w:val="24"/>
        </w:rPr>
        <w:t>Four federal financial regulatory agencies requested comment on a proposed Interagency Policy Statement on Allowances for Credit Losses. This proposed policy statement is intended to promote consistency in the interpretation and application of the Financial Accounting Standards Board's (FASB) credit losses accounting standard, which introduces the current expected credit losses (CECL) methodology.</w:t>
      </w:r>
    </w:p>
    <w:p w14:paraId="1A6C74EB" w14:textId="77777777" w:rsidR="0085208E" w:rsidRPr="0085208E" w:rsidRDefault="0085208E" w:rsidP="0085208E">
      <w:pPr>
        <w:spacing w:before="120" w:after="120" w:line="259" w:lineRule="auto"/>
        <w:rPr>
          <w:rFonts w:ascii="Calibri" w:eastAsia="Calibri" w:hAnsi="Calibri" w:cs="Arial"/>
          <w:color w:val="101820"/>
          <w:sz w:val="24"/>
          <w:szCs w:val="24"/>
        </w:rPr>
      </w:pPr>
      <w:r w:rsidRPr="0085208E">
        <w:rPr>
          <w:rFonts w:ascii="Calibri" w:eastAsia="Calibri" w:hAnsi="Calibri" w:cs="Arial"/>
          <w:color w:val="101820"/>
          <w:sz w:val="24"/>
          <w:szCs w:val="24"/>
        </w:rPr>
        <w:t>The proposed interagency policy statement describes the measurement of expected credit losses using the CECL methodology and updates concepts and practices detailed in existing supervisory guidance that remain applicable. CECL is effective for most public financial institutions beginning in 2020, and the FASB recently decided to defer the effective date of CECL for all other institutions to 2023. The proposed interagency policy statement would be effective at the time of each institution's adoption of the credit losses accounting standard.</w:t>
      </w:r>
    </w:p>
    <w:p w14:paraId="2CDE35D7" w14:textId="4EF5D450" w:rsidR="0085208E" w:rsidRPr="0085208E" w:rsidRDefault="0085208E" w:rsidP="0085208E">
      <w:pPr>
        <w:spacing w:before="120" w:after="120" w:line="259" w:lineRule="auto"/>
        <w:rPr>
          <w:rFonts w:ascii="Calibri" w:eastAsia="Calibri" w:hAnsi="Calibri" w:cs="Arial"/>
          <w:color w:val="101820"/>
          <w:sz w:val="24"/>
          <w:szCs w:val="24"/>
        </w:rPr>
      </w:pPr>
      <w:r w:rsidRPr="0085208E">
        <w:rPr>
          <w:rFonts w:ascii="Calibri" w:eastAsia="Calibri" w:hAnsi="Calibri" w:cs="Arial"/>
          <w:color w:val="101820"/>
          <w:sz w:val="24"/>
          <w:szCs w:val="24"/>
        </w:rPr>
        <w:t>The agencies also are requesting comment on the proposed Interagency Guidance on Credit Risk Review Systems. The guidance presents principles for establishing a system of independent, ongoing credit risk review in accordance with safety and soundness standards.</w:t>
      </w:r>
    </w:p>
    <w:p w14:paraId="63C4478E" w14:textId="77777777" w:rsidR="0085208E" w:rsidRPr="0085208E" w:rsidRDefault="0085208E" w:rsidP="0085208E">
      <w:pPr>
        <w:spacing w:before="120" w:after="120" w:line="259" w:lineRule="auto"/>
        <w:rPr>
          <w:rFonts w:ascii="Calibri" w:eastAsia="Calibri" w:hAnsi="Calibri" w:cs="Arial"/>
          <w:color w:val="101820"/>
          <w:sz w:val="24"/>
          <w:szCs w:val="24"/>
        </w:rPr>
      </w:pPr>
      <w:r w:rsidRPr="0085208E">
        <w:rPr>
          <w:rFonts w:ascii="Calibri" w:eastAsia="Calibri" w:hAnsi="Calibri" w:cs="Arial"/>
          <w:color w:val="101820"/>
          <w:sz w:val="24"/>
          <w:szCs w:val="24"/>
        </w:rPr>
        <w:t>The proposals were issued by the Federal Reserve Board, the Federal Deposit Insurance Corporation, the National Credit Union Administration, and the Office of the Comptroller of the Currency. Comments on each proposal will be accepted for 60 days after publication in the Federal Register.</w:t>
      </w:r>
    </w:p>
    <w:p w14:paraId="28BE640E" w14:textId="77777777" w:rsidR="0085208E" w:rsidRPr="0085208E" w:rsidRDefault="0085208E" w:rsidP="0085208E">
      <w:pPr>
        <w:spacing w:before="120" w:after="120" w:line="259" w:lineRule="auto"/>
        <w:rPr>
          <w:rFonts w:ascii="Calibri" w:eastAsia="Calibri" w:hAnsi="Calibri" w:cs="Arial"/>
          <w:color w:val="101820"/>
          <w:sz w:val="24"/>
          <w:szCs w:val="24"/>
        </w:rPr>
      </w:pPr>
      <w:r w:rsidRPr="0085208E">
        <w:rPr>
          <w:rFonts w:ascii="Calibri" w:eastAsia="Calibri" w:hAnsi="Calibri" w:cs="Arial"/>
          <w:color w:val="101820"/>
          <w:sz w:val="24"/>
          <w:szCs w:val="24"/>
        </w:rPr>
        <w:t>Attachments:</w:t>
      </w:r>
    </w:p>
    <w:p w14:paraId="2B112728" w14:textId="07C802F7" w:rsidR="0085208E" w:rsidRPr="0085208E" w:rsidRDefault="00E5154D" w:rsidP="0085208E">
      <w:pPr>
        <w:spacing w:before="120" w:after="120" w:line="259" w:lineRule="auto"/>
        <w:rPr>
          <w:rFonts w:ascii="Calibri" w:eastAsia="Calibri" w:hAnsi="Calibri" w:cs="Arial"/>
          <w:color w:val="101820"/>
          <w:sz w:val="24"/>
          <w:szCs w:val="24"/>
        </w:rPr>
      </w:pPr>
      <w:hyperlink r:id="rId19" w:history="1">
        <w:r w:rsidR="0085208E" w:rsidRPr="0085208E">
          <w:rPr>
            <w:rStyle w:val="Hyperlink"/>
            <w:rFonts w:ascii="Calibri" w:eastAsia="Calibri" w:hAnsi="Calibri" w:cs="Arial"/>
            <w:sz w:val="24"/>
            <w:szCs w:val="24"/>
          </w:rPr>
          <w:t>Proposed Interagency Policy Statement on Allowances for Credit Losses</w:t>
        </w:r>
      </w:hyperlink>
    </w:p>
    <w:p w14:paraId="4EB3DCBB" w14:textId="758D3AB7" w:rsidR="0085208E" w:rsidRPr="00356F44" w:rsidRDefault="00356F44" w:rsidP="0085208E">
      <w:pPr>
        <w:spacing w:before="120" w:after="120" w:line="259" w:lineRule="auto"/>
        <w:rPr>
          <w:rStyle w:val="Hyperlink"/>
          <w:rFonts w:ascii="Calibri" w:eastAsia="Calibri" w:hAnsi="Calibri" w:cs="Arial"/>
          <w:sz w:val="24"/>
          <w:szCs w:val="24"/>
        </w:rPr>
      </w:pPr>
      <w:r>
        <w:rPr>
          <w:rFonts w:ascii="Calibri" w:eastAsia="Calibri" w:hAnsi="Calibri" w:cs="Arial"/>
          <w:sz w:val="24"/>
          <w:szCs w:val="24"/>
        </w:rPr>
        <w:fldChar w:fldCharType="begin"/>
      </w:r>
      <w:r>
        <w:rPr>
          <w:rFonts w:ascii="Calibri" w:eastAsia="Calibri" w:hAnsi="Calibri" w:cs="Arial"/>
          <w:sz w:val="24"/>
          <w:szCs w:val="24"/>
        </w:rPr>
        <w:instrText xml:space="preserve"> HYPERLINK "https://www.govinfo.gov/content/pkg/FR-2019-10-17/pdf/2019-22656.pdf" </w:instrText>
      </w:r>
      <w:r>
        <w:rPr>
          <w:rFonts w:ascii="Calibri" w:eastAsia="Calibri" w:hAnsi="Calibri" w:cs="Arial"/>
          <w:sz w:val="24"/>
          <w:szCs w:val="24"/>
        </w:rPr>
        <w:fldChar w:fldCharType="separate"/>
      </w:r>
      <w:r w:rsidR="0085208E" w:rsidRPr="00356F44">
        <w:rPr>
          <w:rStyle w:val="Hyperlink"/>
          <w:rFonts w:ascii="Calibri" w:eastAsia="Calibri" w:hAnsi="Calibri" w:cs="Arial"/>
          <w:sz w:val="24"/>
          <w:szCs w:val="24"/>
        </w:rPr>
        <w:t>Proposed Interagency Guidance on Credit Risk Review Systems</w:t>
      </w:r>
    </w:p>
    <w:p w14:paraId="342ABDE3" w14:textId="439439FE" w:rsidR="001C22F0" w:rsidRDefault="00356F44" w:rsidP="0085208E">
      <w:pPr>
        <w:spacing w:before="120" w:after="120" w:line="259" w:lineRule="auto"/>
        <w:rPr>
          <w:rFonts w:eastAsia="Calibri" w:cstheme="minorHAnsi"/>
          <w:bCs/>
          <w:color w:val="000000"/>
          <w:sz w:val="24"/>
          <w:szCs w:val="24"/>
        </w:rPr>
      </w:pPr>
      <w:r>
        <w:rPr>
          <w:rFonts w:ascii="Calibri" w:eastAsia="Calibri" w:hAnsi="Calibri" w:cs="Arial"/>
          <w:sz w:val="24"/>
          <w:szCs w:val="24"/>
        </w:rPr>
        <w:fldChar w:fldCharType="end"/>
      </w:r>
      <w:r w:rsidR="001C22F0" w:rsidRPr="0077105F">
        <w:rPr>
          <w:rFonts w:eastAsia="Calibri" w:cstheme="minorHAnsi"/>
          <w:b/>
          <w:bCs/>
          <w:color w:val="000000"/>
          <w:sz w:val="24"/>
          <w:szCs w:val="24"/>
        </w:rPr>
        <w:t>Source</w:t>
      </w:r>
      <w:r w:rsidR="001C22F0" w:rsidRPr="0077105F">
        <w:rPr>
          <w:rFonts w:eastAsia="Calibri" w:cstheme="minorHAnsi"/>
          <w:bCs/>
          <w:color w:val="000000"/>
          <w:sz w:val="24"/>
          <w:szCs w:val="24"/>
        </w:rPr>
        <w:t xml:space="preserve"> </w:t>
      </w:r>
      <w:hyperlink r:id="rId20" w:history="1">
        <w:r w:rsidR="001C22F0" w:rsidRPr="00356F44">
          <w:rPr>
            <w:rStyle w:val="Hyperlink"/>
            <w:rFonts w:eastAsia="Calibri" w:cstheme="minorHAnsi"/>
            <w:sz w:val="24"/>
            <w:szCs w:val="24"/>
          </w:rPr>
          <w:t>link</w:t>
        </w:r>
      </w:hyperlink>
      <w:r w:rsidR="001C22F0" w:rsidRPr="0077105F">
        <w:rPr>
          <w:rFonts w:eastAsia="Calibri" w:cstheme="minorHAnsi"/>
          <w:bCs/>
          <w:color w:val="000000"/>
          <w:sz w:val="24"/>
          <w:szCs w:val="24"/>
        </w:rPr>
        <w:t xml:space="preserve">. </w:t>
      </w:r>
    </w:p>
    <w:p w14:paraId="66C3740C" w14:textId="3BA33035" w:rsidR="001C22F0" w:rsidRDefault="001C22F0" w:rsidP="001C22F0">
      <w:pPr>
        <w:spacing w:before="120" w:after="120" w:line="259" w:lineRule="auto"/>
        <w:rPr>
          <w:rFonts w:eastAsia="Calibri" w:cstheme="minorHAnsi"/>
          <w:b/>
          <w:bCs/>
          <w:i/>
          <w:color w:val="002060"/>
          <w:sz w:val="24"/>
          <w:szCs w:val="24"/>
        </w:rPr>
      </w:pPr>
      <w:r w:rsidRPr="0077105F">
        <w:rPr>
          <w:rFonts w:eastAsia="Calibri" w:cstheme="minorHAnsi"/>
          <w:b/>
          <w:bCs/>
          <w:i/>
          <w:color w:val="002060"/>
          <w:sz w:val="24"/>
          <w:szCs w:val="24"/>
        </w:rPr>
        <w:t xml:space="preserve">Comment: </w:t>
      </w:r>
      <w:r w:rsidR="004E7F52" w:rsidRPr="004E7F52">
        <w:rPr>
          <w:rFonts w:eastAsia="Calibri" w:cstheme="minorHAnsi"/>
          <w:b/>
          <w:bCs/>
          <w:i/>
          <w:color w:val="002060"/>
          <w:sz w:val="24"/>
          <w:szCs w:val="24"/>
        </w:rPr>
        <w:t>The proposed guidance stresses that bank employees involved with assessing credit risk should be independent from an institution’s lending function.</w:t>
      </w:r>
    </w:p>
    <w:bookmarkEnd w:id="20"/>
    <w:p w14:paraId="1F8484EB" w14:textId="1C66EDA5" w:rsidR="00E80775" w:rsidRDefault="00E80775" w:rsidP="00E80775">
      <w:pPr>
        <w:tabs>
          <w:tab w:val="left" w:pos="7284"/>
        </w:tabs>
        <w:spacing w:before="120" w:after="120" w:line="259" w:lineRule="auto"/>
        <w:rPr>
          <w:rFonts w:eastAsia="Calibri" w:cstheme="minorHAnsi"/>
          <w:b/>
          <w:bCs/>
          <w:i/>
          <w:color w:val="000000" w:themeColor="text1"/>
          <w:sz w:val="24"/>
          <w:szCs w:val="24"/>
        </w:rPr>
      </w:pPr>
    </w:p>
    <w:p w14:paraId="1CA5AEAA" w14:textId="4AB4D447" w:rsidR="005C5706" w:rsidRPr="0077105F" w:rsidRDefault="005C5706" w:rsidP="005C5706">
      <w:pPr>
        <w:tabs>
          <w:tab w:val="left" w:pos="7284"/>
        </w:tabs>
        <w:spacing w:before="120" w:after="120" w:line="259" w:lineRule="auto"/>
        <w:rPr>
          <w:rFonts w:eastAsia="Calibri" w:cstheme="minorHAnsi"/>
          <w:b/>
          <w:bCs/>
          <w:i/>
          <w:color w:val="000000" w:themeColor="text1"/>
          <w:sz w:val="24"/>
          <w:szCs w:val="24"/>
        </w:rPr>
      </w:pPr>
      <w:r w:rsidRPr="00ED41C9">
        <w:rPr>
          <w:rFonts w:eastAsia="Calibri" w:cstheme="minorHAnsi"/>
          <w:b/>
          <w:bCs/>
          <w:i/>
          <w:color w:val="000000" w:themeColor="text1"/>
          <w:sz w:val="24"/>
          <w:szCs w:val="24"/>
        </w:rPr>
        <w:t>Agencies Finalize Changes to Simplify Volcker Rule</w:t>
      </w:r>
      <w:r w:rsidRPr="00D60982">
        <w:rPr>
          <w:rFonts w:eastAsia="Calibri" w:cstheme="minorHAnsi"/>
          <w:b/>
          <w:bCs/>
          <w:i/>
          <w:color w:val="000000" w:themeColor="text1"/>
          <w:sz w:val="24"/>
          <w:szCs w:val="24"/>
        </w:rPr>
        <w:t xml:space="preserve"> </w:t>
      </w:r>
      <w:r>
        <w:rPr>
          <w:rFonts w:eastAsia="Calibri" w:cstheme="minorHAnsi"/>
          <w:b/>
          <w:bCs/>
          <w:i/>
          <w:color w:val="000000" w:themeColor="text1"/>
          <w:sz w:val="24"/>
          <w:szCs w:val="24"/>
        </w:rPr>
        <w:t>(10.08.2019</w:t>
      </w:r>
      <w:r w:rsidRPr="0077105F">
        <w:rPr>
          <w:rFonts w:eastAsia="Calibri" w:cstheme="minorHAnsi"/>
          <w:b/>
          <w:bCs/>
          <w:i/>
          <w:color w:val="000000" w:themeColor="text1"/>
          <w:sz w:val="24"/>
          <w:szCs w:val="24"/>
        </w:rPr>
        <w:t>)</w:t>
      </w:r>
      <w:r>
        <w:rPr>
          <w:rFonts w:eastAsia="Calibri" w:cstheme="minorHAnsi"/>
          <w:b/>
          <w:bCs/>
          <w:i/>
          <w:color w:val="000000" w:themeColor="text1"/>
          <w:sz w:val="24"/>
          <w:szCs w:val="24"/>
        </w:rPr>
        <w:t xml:space="preserve"> </w:t>
      </w:r>
      <w:r>
        <w:rPr>
          <w:rFonts w:eastAsia="Calibri" w:cstheme="minorHAnsi"/>
          <w:b/>
          <w:bCs/>
          <w:i/>
          <w:noProof/>
          <w:color w:val="000000" w:themeColor="text1"/>
          <w:sz w:val="24"/>
          <w:szCs w:val="24"/>
        </w:rPr>
        <w:drawing>
          <wp:inline distT="0" distB="0" distL="0" distR="0" wp14:anchorId="025A8134" wp14:editId="65FD52AF">
            <wp:extent cx="274320" cy="219710"/>
            <wp:effectExtent l="0" t="0" r="0" b="889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4320" cy="219710"/>
                    </a:xfrm>
                    <a:prstGeom prst="rect">
                      <a:avLst/>
                    </a:prstGeom>
                    <a:noFill/>
                  </pic:spPr>
                </pic:pic>
              </a:graphicData>
            </a:graphic>
          </wp:inline>
        </w:drawing>
      </w:r>
    </w:p>
    <w:p w14:paraId="41236BF7" w14:textId="5F2A73C1" w:rsidR="005C5706" w:rsidRPr="005C5706" w:rsidRDefault="005C5706" w:rsidP="005C5706">
      <w:pPr>
        <w:spacing w:before="120" w:after="120" w:line="259" w:lineRule="auto"/>
        <w:rPr>
          <w:rFonts w:ascii="Calibri" w:eastAsia="Calibri" w:hAnsi="Calibri" w:cs="Arial"/>
          <w:color w:val="101820"/>
          <w:sz w:val="24"/>
          <w:szCs w:val="24"/>
        </w:rPr>
      </w:pPr>
      <w:r w:rsidRPr="005C5706">
        <w:rPr>
          <w:rFonts w:ascii="Calibri" w:eastAsia="Calibri" w:hAnsi="Calibri" w:cs="Arial"/>
          <w:color w:val="101820"/>
          <w:sz w:val="24"/>
          <w:szCs w:val="24"/>
        </w:rPr>
        <w:lastRenderedPageBreak/>
        <w:t>Five federal financial regulatory agencies announced that they finalized revisions to simplify compliance requirements relating to the "Volcker rule." By statute, the Volcker rule generally prohibits banking entities from engaging in proprietary trading or investing in or sponsoring hedge funds or private equity funds.</w:t>
      </w:r>
    </w:p>
    <w:p w14:paraId="036038C4" w14:textId="77777777" w:rsidR="005C5706" w:rsidRPr="005C5706" w:rsidRDefault="005C5706" w:rsidP="005C5706">
      <w:pPr>
        <w:spacing w:before="120" w:after="120" w:line="259" w:lineRule="auto"/>
        <w:rPr>
          <w:rFonts w:ascii="Calibri" w:eastAsia="Calibri" w:hAnsi="Calibri" w:cs="Arial"/>
          <w:color w:val="101820"/>
          <w:sz w:val="24"/>
          <w:szCs w:val="24"/>
        </w:rPr>
      </w:pPr>
      <w:r w:rsidRPr="005C5706">
        <w:rPr>
          <w:rFonts w:ascii="Calibri" w:eastAsia="Calibri" w:hAnsi="Calibri" w:cs="Arial"/>
          <w:color w:val="101820"/>
          <w:sz w:val="24"/>
          <w:szCs w:val="24"/>
        </w:rPr>
        <w:t>Under the revised rule, firms that do not have significant trading activities will have simplified and streamlined compliance requirements, while firms with significant trading activity will have more stringent compliance requirements. Community banks generally are exempt from the Volcker rule by statute. The revisions continue to prohibit proprietary trading, while providing greater clarity and certainty for activities allowed under the law. With the changes, the agencies expect that the universe of trades that are considered prohibited proprietary trading will remain generally the same as under the agencies' 2013 rule.</w:t>
      </w:r>
    </w:p>
    <w:p w14:paraId="304463C8" w14:textId="77777777" w:rsidR="005C5706" w:rsidRPr="005C5706" w:rsidRDefault="005C5706" w:rsidP="005C5706">
      <w:pPr>
        <w:spacing w:before="120" w:after="120" w:line="259" w:lineRule="auto"/>
        <w:rPr>
          <w:rFonts w:ascii="Calibri" w:eastAsia="Calibri" w:hAnsi="Calibri" w:cs="Arial"/>
          <w:color w:val="101820"/>
          <w:sz w:val="24"/>
          <w:szCs w:val="24"/>
        </w:rPr>
      </w:pPr>
      <w:r w:rsidRPr="005C5706">
        <w:rPr>
          <w:rFonts w:ascii="Calibri" w:eastAsia="Calibri" w:hAnsi="Calibri" w:cs="Arial"/>
          <w:color w:val="101820"/>
          <w:sz w:val="24"/>
          <w:szCs w:val="24"/>
        </w:rPr>
        <w:t>The changes were jointly developed by the Federal Reserve Board, the Commodity Futures Trading Commission, the Federal Deposit Insurance Corporation, the Office of the Comptroller of the Currency, and the Securities and Exchange Commission.</w:t>
      </w:r>
    </w:p>
    <w:p w14:paraId="2CC6C5D9" w14:textId="7AA7A527" w:rsidR="005C5706" w:rsidRDefault="005C5706" w:rsidP="005C5706">
      <w:pPr>
        <w:spacing w:before="120" w:after="120" w:line="259" w:lineRule="auto"/>
        <w:rPr>
          <w:rFonts w:ascii="Calibri" w:eastAsia="Calibri" w:hAnsi="Calibri" w:cs="Arial"/>
          <w:color w:val="101820"/>
          <w:sz w:val="24"/>
          <w:szCs w:val="24"/>
        </w:rPr>
      </w:pPr>
      <w:r w:rsidRPr="005C5706">
        <w:rPr>
          <w:rFonts w:ascii="Calibri" w:eastAsia="Calibri" w:hAnsi="Calibri" w:cs="Arial"/>
          <w:color w:val="101820"/>
          <w:sz w:val="24"/>
          <w:szCs w:val="24"/>
        </w:rPr>
        <w:t>The rules will be effective on January 1, 2020, with a compliance date of January 1, 2021.</w:t>
      </w:r>
    </w:p>
    <w:p w14:paraId="0695543E" w14:textId="77777777" w:rsidR="005C5706" w:rsidRPr="005C5706" w:rsidRDefault="005C5706" w:rsidP="005C5706">
      <w:pPr>
        <w:spacing w:before="120" w:after="120" w:line="259" w:lineRule="auto"/>
        <w:rPr>
          <w:rFonts w:ascii="Calibri" w:eastAsia="Calibri" w:hAnsi="Calibri" w:cs="Arial"/>
          <w:color w:val="101820"/>
          <w:sz w:val="24"/>
          <w:szCs w:val="24"/>
        </w:rPr>
      </w:pPr>
      <w:r w:rsidRPr="005C5706">
        <w:rPr>
          <w:rFonts w:ascii="Calibri" w:eastAsia="Calibri" w:hAnsi="Calibri" w:cs="Arial"/>
          <w:color w:val="101820"/>
          <w:sz w:val="24"/>
          <w:szCs w:val="24"/>
        </w:rPr>
        <w:t>Attachments:</w:t>
      </w:r>
    </w:p>
    <w:p w14:paraId="0C77B48B" w14:textId="011C6F6B" w:rsidR="005C5706" w:rsidRDefault="00E5154D" w:rsidP="005C5706">
      <w:pPr>
        <w:spacing w:before="120" w:after="120" w:line="259" w:lineRule="auto"/>
        <w:rPr>
          <w:rFonts w:ascii="Calibri" w:eastAsia="Calibri" w:hAnsi="Calibri" w:cs="Arial"/>
          <w:color w:val="101820"/>
          <w:sz w:val="24"/>
          <w:szCs w:val="24"/>
        </w:rPr>
      </w:pPr>
      <w:hyperlink r:id="rId21" w:history="1">
        <w:r w:rsidR="005C5706" w:rsidRPr="005C5706">
          <w:rPr>
            <w:rStyle w:val="Hyperlink"/>
            <w:rFonts w:ascii="Calibri" w:eastAsia="Calibri" w:hAnsi="Calibri" w:cs="Arial"/>
            <w:sz w:val="24"/>
            <w:szCs w:val="24"/>
          </w:rPr>
          <w:t>Final Rule</w:t>
        </w:r>
      </w:hyperlink>
    </w:p>
    <w:p w14:paraId="46612D1F" w14:textId="10E501E5" w:rsidR="005C5706" w:rsidRDefault="005C5706" w:rsidP="005C5706">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22" w:history="1">
        <w:r w:rsidRPr="005C5706">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190CD58E" w14:textId="28CEBC09" w:rsidR="005C5706" w:rsidRDefault="005C5706" w:rsidP="005C5706">
      <w:pPr>
        <w:spacing w:before="120" w:after="120" w:line="259" w:lineRule="auto"/>
        <w:rPr>
          <w:rFonts w:eastAsia="Calibri" w:cstheme="minorHAnsi"/>
          <w:b/>
          <w:bCs/>
          <w:i/>
          <w:color w:val="002060"/>
          <w:sz w:val="24"/>
          <w:szCs w:val="24"/>
        </w:rPr>
      </w:pPr>
      <w:r w:rsidRPr="0077105F">
        <w:rPr>
          <w:rFonts w:eastAsia="Calibri" w:cstheme="minorHAnsi"/>
          <w:b/>
          <w:bCs/>
          <w:i/>
          <w:color w:val="002060"/>
          <w:sz w:val="24"/>
          <w:szCs w:val="24"/>
        </w:rPr>
        <w:t xml:space="preserve">Comment: </w:t>
      </w:r>
      <w:r w:rsidR="004E7F52" w:rsidRPr="004E7F52">
        <w:rPr>
          <w:rFonts w:eastAsia="Calibri" w:cstheme="minorHAnsi"/>
          <w:b/>
          <w:bCs/>
          <w:i/>
          <w:color w:val="002060"/>
          <w:sz w:val="24"/>
          <w:szCs w:val="24"/>
        </w:rPr>
        <w:t>Community banks generally are exempt from the Volcker rule by statute. The revisions continue to prohibit proprietary trading, while providing greater clarity and certainty for activities allowed under the law.</w:t>
      </w:r>
    </w:p>
    <w:p w14:paraId="7E8703B2" w14:textId="77777777" w:rsidR="005C5706" w:rsidRDefault="005C5706" w:rsidP="0042460B">
      <w:pPr>
        <w:tabs>
          <w:tab w:val="left" w:pos="7284"/>
        </w:tabs>
        <w:spacing w:before="120" w:after="120" w:line="259" w:lineRule="auto"/>
        <w:rPr>
          <w:rFonts w:eastAsia="Calibri" w:cstheme="minorHAnsi"/>
          <w:b/>
          <w:bCs/>
          <w:i/>
          <w:color w:val="000000" w:themeColor="text1"/>
          <w:sz w:val="24"/>
          <w:szCs w:val="24"/>
        </w:rPr>
      </w:pPr>
    </w:p>
    <w:p w14:paraId="00CEE5C4" w14:textId="61E7391D" w:rsidR="0042460B" w:rsidRPr="0077105F" w:rsidRDefault="00536814" w:rsidP="0042460B">
      <w:pPr>
        <w:tabs>
          <w:tab w:val="left" w:pos="7284"/>
        </w:tabs>
        <w:spacing w:before="120" w:after="120" w:line="259" w:lineRule="auto"/>
        <w:rPr>
          <w:rFonts w:eastAsia="Calibri" w:cstheme="minorHAnsi"/>
          <w:b/>
          <w:bCs/>
          <w:i/>
          <w:color w:val="000000" w:themeColor="text1"/>
          <w:sz w:val="24"/>
          <w:szCs w:val="24"/>
        </w:rPr>
      </w:pPr>
      <w:r w:rsidRPr="0021592B">
        <w:rPr>
          <w:rFonts w:eastAsia="Calibri" w:cstheme="minorHAnsi"/>
          <w:b/>
          <w:bCs/>
          <w:i/>
          <w:color w:val="000000" w:themeColor="text1"/>
          <w:sz w:val="24"/>
          <w:szCs w:val="24"/>
        </w:rPr>
        <w:t>Agencies Issue Final Rule to Update Management Interlock Rules</w:t>
      </w:r>
      <w:r w:rsidRPr="00536814">
        <w:rPr>
          <w:rFonts w:eastAsia="Calibri" w:cstheme="minorHAnsi"/>
          <w:b/>
          <w:bCs/>
          <w:i/>
          <w:color w:val="000000" w:themeColor="text1"/>
          <w:sz w:val="24"/>
          <w:szCs w:val="24"/>
        </w:rPr>
        <w:t xml:space="preserve"> </w:t>
      </w:r>
      <w:r w:rsidR="0042460B">
        <w:rPr>
          <w:rFonts w:eastAsia="Calibri" w:cstheme="minorHAnsi"/>
          <w:b/>
          <w:bCs/>
          <w:i/>
          <w:color w:val="000000" w:themeColor="text1"/>
          <w:sz w:val="24"/>
          <w:szCs w:val="24"/>
        </w:rPr>
        <w:t>(</w:t>
      </w:r>
      <w:r>
        <w:rPr>
          <w:rFonts w:eastAsia="Calibri" w:cstheme="minorHAnsi"/>
          <w:b/>
          <w:bCs/>
          <w:i/>
          <w:color w:val="000000" w:themeColor="text1"/>
          <w:sz w:val="24"/>
          <w:szCs w:val="24"/>
        </w:rPr>
        <w:t>10</w:t>
      </w:r>
      <w:r w:rsidR="0042460B">
        <w:rPr>
          <w:rFonts w:eastAsia="Calibri" w:cstheme="minorHAnsi"/>
          <w:b/>
          <w:bCs/>
          <w:i/>
          <w:color w:val="000000" w:themeColor="text1"/>
          <w:sz w:val="24"/>
          <w:szCs w:val="24"/>
        </w:rPr>
        <w:t>.</w:t>
      </w:r>
      <w:r>
        <w:rPr>
          <w:rFonts w:eastAsia="Calibri" w:cstheme="minorHAnsi"/>
          <w:b/>
          <w:bCs/>
          <w:i/>
          <w:color w:val="000000" w:themeColor="text1"/>
          <w:sz w:val="24"/>
          <w:szCs w:val="24"/>
        </w:rPr>
        <w:t>02</w:t>
      </w:r>
      <w:r w:rsidR="0042460B">
        <w:rPr>
          <w:rFonts w:eastAsia="Calibri" w:cstheme="minorHAnsi"/>
          <w:b/>
          <w:bCs/>
          <w:i/>
          <w:color w:val="000000" w:themeColor="text1"/>
          <w:sz w:val="24"/>
          <w:szCs w:val="24"/>
        </w:rPr>
        <w:t>.2019</w:t>
      </w:r>
      <w:r w:rsidR="0042460B" w:rsidRPr="0077105F">
        <w:rPr>
          <w:rFonts w:eastAsia="Calibri" w:cstheme="minorHAnsi"/>
          <w:b/>
          <w:bCs/>
          <w:i/>
          <w:color w:val="000000" w:themeColor="text1"/>
          <w:sz w:val="24"/>
          <w:szCs w:val="24"/>
        </w:rPr>
        <w:t>)</w:t>
      </w:r>
      <w:r w:rsidR="0042460B">
        <w:rPr>
          <w:rFonts w:eastAsia="Calibri" w:cstheme="minorHAnsi"/>
          <w:b/>
          <w:bCs/>
          <w:i/>
          <w:color w:val="000000" w:themeColor="text1"/>
          <w:sz w:val="24"/>
          <w:szCs w:val="24"/>
        </w:rPr>
        <w:t xml:space="preserve"> </w:t>
      </w:r>
      <w:r w:rsidR="00801FC0">
        <w:rPr>
          <w:rFonts w:eastAsia="Calibri" w:cstheme="minorHAnsi"/>
          <w:b/>
          <w:bCs/>
          <w:i/>
          <w:noProof/>
          <w:color w:val="000000" w:themeColor="text1"/>
          <w:sz w:val="24"/>
          <w:szCs w:val="24"/>
        </w:rPr>
        <w:drawing>
          <wp:inline distT="0" distB="0" distL="0" distR="0" wp14:anchorId="488B76E5" wp14:editId="6D1C6A4A">
            <wp:extent cx="274320" cy="219710"/>
            <wp:effectExtent l="0" t="0" r="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74320" cy="219710"/>
                    </a:xfrm>
                    <a:prstGeom prst="rect">
                      <a:avLst/>
                    </a:prstGeom>
                    <a:noFill/>
                  </pic:spPr>
                </pic:pic>
              </a:graphicData>
            </a:graphic>
          </wp:inline>
        </w:drawing>
      </w:r>
    </w:p>
    <w:p w14:paraId="3408BC26" w14:textId="7D601946" w:rsidR="00D87579" w:rsidRPr="00D87579" w:rsidRDefault="00D87579" w:rsidP="00D87579">
      <w:pPr>
        <w:spacing w:before="120" w:after="120" w:line="259" w:lineRule="auto"/>
        <w:rPr>
          <w:rFonts w:ascii="Calibri" w:eastAsia="Calibri" w:hAnsi="Calibri" w:cs="Arial"/>
          <w:color w:val="101820"/>
          <w:sz w:val="24"/>
          <w:szCs w:val="24"/>
        </w:rPr>
      </w:pPr>
      <w:r w:rsidRPr="00D87579">
        <w:rPr>
          <w:rFonts w:ascii="Calibri" w:eastAsia="Calibri" w:hAnsi="Calibri" w:cs="Arial"/>
          <w:color w:val="101820"/>
          <w:sz w:val="24"/>
          <w:szCs w:val="24"/>
        </w:rPr>
        <w:t>The federal bank regulatory agencies finalized updates to rules restricting the ability of a director or other management official to serve at more than one depository institution or depository holding company. The updates provide relief for community banks that have $10 billion or less in total assets and are unchanged from the proposal announced in December 2018.</w:t>
      </w:r>
    </w:p>
    <w:p w14:paraId="43A7410D" w14:textId="77777777" w:rsidR="00D87579" w:rsidRPr="00D87579" w:rsidRDefault="00D87579" w:rsidP="00D87579">
      <w:pPr>
        <w:spacing w:before="120" w:after="120" w:line="259" w:lineRule="auto"/>
        <w:rPr>
          <w:rFonts w:ascii="Calibri" w:eastAsia="Calibri" w:hAnsi="Calibri" w:cs="Arial"/>
          <w:color w:val="101820"/>
          <w:sz w:val="24"/>
          <w:szCs w:val="24"/>
        </w:rPr>
      </w:pPr>
      <w:r w:rsidRPr="00D87579">
        <w:rPr>
          <w:rFonts w:ascii="Calibri" w:eastAsia="Calibri" w:hAnsi="Calibri" w:cs="Arial"/>
          <w:color w:val="101820"/>
          <w:sz w:val="24"/>
          <w:szCs w:val="24"/>
        </w:rPr>
        <w:t>Previously, the management interlock rules prohibited a management official working at a depository institution or holding company with more than $2.5 billion in total assets from simultaneously working at an unaffiliated depository organization with more than $1.5 billion in total assets. The previous thresholds were established by Congress in 1996. To account for changes in the market, the final rule increases both thresholds to $10 billion in total assets, as the agencies proposed previously.</w:t>
      </w:r>
    </w:p>
    <w:p w14:paraId="3C38D28B" w14:textId="77777777" w:rsidR="00D87579" w:rsidRPr="00D87579" w:rsidRDefault="00D87579" w:rsidP="00D87579">
      <w:pPr>
        <w:spacing w:before="120" w:after="120" w:line="259" w:lineRule="auto"/>
        <w:rPr>
          <w:rFonts w:ascii="Calibri" w:eastAsia="Calibri" w:hAnsi="Calibri" w:cs="Arial"/>
          <w:color w:val="101820"/>
          <w:sz w:val="24"/>
          <w:szCs w:val="24"/>
        </w:rPr>
      </w:pPr>
      <w:r w:rsidRPr="00D87579">
        <w:rPr>
          <w:rFonts w:ascii="Calibri" w:eastAsia="Calibri" w:hAnsi="Calibri" w:cs="Arial"/>
          <w:color w:val="101820"/>
          <w:sz w:val="24"/>
          <w:szCs w:val="24"/>
        </w:rPr>
        <w:t>Management officials will generally remain prohibited from serving with multiple depository organizations that are above the new thresholds, limiting the potential risk of anticompetitive conduct at larger institutions.</w:t>
      </w:r>
    </w:p>
    <w:p w14:paraId="5E0218BD" w14:textId="77777777" w:rsidR="00D87579" w:rsidRPr="00D87579" w:rsidRDefault="00D87579" w:rsidP="00D87579">
      <w:pPr>
        <w:spacing w:before="120" w:after="120" w:line="259" w:lineRule="auto"/>
        <w:rPr>
          <w:rFonts w:ascii="Calibri" w:eastAsia="Calibri" w:hAnsi="Calibri" w:cs="Arial"/>
          <w:color w:val="101820"/>
          <w:sz w:val="24"/>
          <w:szCs w:val="24"/>
        </w:rPr>
      </w:pPr>
      <w:r w:rsidRPr="00D87579">
        <w:rPr>
          <w:rFonts w:ascii="Calibri" w:eastAsia="Calibri" w:hAnsi="Calibri" w:cs="Arial"/>
          <w:color w:val="101820"/>
          <w:sz w:val="24"/>
          <w:szCs w:val="24"/>
        </w:rPr>
        <w:t>The final rule responds to comments received during the recent review required by the Economic Growth and Regulatory Paperwork Reduction Act of 1996. It was jointly issued by the Federal Reserve Board, the Federal Deposit Insurance Corporation, and the Office of the Comptroller of the Currency and will take effect upon publication in the Federal Register.</w:t>
      </w:r>
    </w:p>
    <w:p w14:paraId="1CC436F8" w14:textId="77777777" w:rsidR="00D87579" w:rsidRPr="00D87579" w:rsidRDefault="00D87579" w:rsidP="00D87579">
      <w:pPr>
        <w:spacing w:before="120" w:after="120" w:line="259" w:lineRule="auto"/>
        <w:rPr>
          <w:rFonts w:ascii="Calibri" w:eastAsia="Calibri" w:hAnsi="Calibri" w:cs="Arial"/>
          <w:color w:val="101820"/>
          <w:sz w:val="24"/>
          <w:szCs w:val="24"/>
        </w:rPr>
      </w:pPr>
      <w:r w:rsidRPr="00D87579">
        <w:rPr>
          <w:rFonts w:ascii="Calibri" w:eastAsia="Calibri" w:hAnsi="Calibri" w:cs="Arial"/>
          <w:color w:val="101820"/>
          <w:sz w:val="24"/>
          <w:szCs w:val="24"/>
        </w:rPr>
        <w:t>Attachment:</w:t>
      </w:r>
    </w:p>
    <w:p w14:paraId="4B065C74" w14:textId="62444B76" w:rsidR="00D87579" w:rsidRPr="00ED41C9" w:rsidRDefault="00ED41C9" w:rsidP="00D87579">
      <w:pPr>
        <w:spacing w:before="120" w:after="120" w:line="259" w:lineRule="auto"/>
        <w:rPr>
          <w:rStyle w:val="Hyperlink"/>
          <w:rFonts w:ascii="Calibri" w:eastAsia="Calibri" w:hAnsi="Calibri" w:cs="Arial"/>
          <w:sz w:val="24"/>
          <w:szCs w:val="24"/>
        </w:rPr>
      </w:pPr>
      <w:r>
        <w:rPr>
          <w:rFonts w:ascii="Calibri" w:eastAsia="Calibri" w:hAnsi="Calibri" w:cs="Arial"/>
          <w:sz w:val="24"/>
          <w:szCs w:val="24"/>
        </w:rPr>
        <w:fldChar w:fldCharType="begin"/>
      </w:r>
      <w:r>
        <w:rPr>
          <w:rFonts w:ascii="Calibri" w:eastAsia="Calibri" w:hAnsi="Calibri" w:cs="Arial"/>
          <w:sz w:val="24"/>
          <w:szCs w:val="24"/>
        </w:rPr>
        <w:instrText xml:space="preserve"> HYPERLINK "https://www.fdic.gov/news/board/2019/2019-08-20-notice-sum-c-fr.pdf" </w:instrText>
      </w:r>
      <w:r>
        <w:rPr>
          <w:rFonts w:ascii="Calibri" w:eastAsia="Calibri" w:hAnsi="Calibri" w:cs="Arial"/>
          <w:sz w:val="24"/>
          <w:szCs w:val="24"/>
        </w:rPr>
        <w:fldChar w:fldCharType="separate"/>
      </w:r>
      <w:r w:rsidR="00D87579" w:rsidRPr="00ED41C9">
        <w:rPr>
          <w:rStyle w:val="Hyperlink"/>
          <w:rFonts w:ascii="Calibri" w:eastAsia="Calibri" w:hAnsi="Calibri" w:cs="Arial"/>
          <w:sz w:val="24"/>
          <w:szCs w:val="24"/>
        </w:rPr>
        <w:t>Final Rule to Increase the Major Assets Threshold Under the Depository Institutions Management Interlocks Act</w:t>
      </w:r>
    </w:p>
    <w:p w14:paraId="75A3D01D" w14:textId="46AECC45" w:rsidR="0042460B" w:rsidRDefault="00ED41C9" w:rsidP="00D87579">
      <w:pPr>
        <w:spacing w:before="120" w:after="120" w:line="259" w:lineRule="auto"/>
        <w:rPr>
          <w:rFonts w:eastAsia="Calibri" w:cstheme="minorHAnsi"/>
          <w:bCs/>
          <w:color w:val="000000"/>
          <w:sz w:val="24"/>
          <w:szCs w:val="24"/>
        </w:rPr>
      </w:pPr>
      <w:r>
        <w:rPr>
          <w:rFonts w:ascii="Calibri" w:eastAsia="Calibri" w:hAnsi="Calibri" w:cs="Arial"/>
          <w:sz w:val="24"/>
          <w:szCs w:val="24"/>
        </w:rPr>
        <w:lastRenderedPageBreak/>
        <w:fldChar w:fldCharType="end"/>
      </w:r>
      <w:r w:rsidR="0042460B" w:rsidRPr="0077105F">
        <w:rPr>
          <w:rFonts w:eastAsia="Calibri" w:cstheme="minorHAnsi"/>
          <w:b/>
          <w:bCs/>
          <w:color w:val="000000"/>
          <w:sz w:val="24"/>
          <w:szCs w:val="24"/>
        </w:rPr>
        <w:t>Source</w:t>
      </w:r>
      <w:r w:rsidR="0042460B" w:rsidRPr="0077105F">
        <w:rPr>
          <w:rFonts w:eastAsia="Calibri" w:cstheme="minorHAnsi"/>
          <w:bCs/>
          <w:color w:val="000000"/>
          <w:sz w:val="24"/>
          <w:szCs w:val="24"/>
        </w:rPr>
        <w:t xml:space="preserve"> </w:t>
      </w:r>
      <w:hyperlink r:id="rId24" w:history="1">
        <w:r w:rsidR="0042460B" w:rsidRPr="00536814">
          <w:rPr>
            <w:rStyle w:val="Hyperlink"/>
            <w:rFonts w:eastAsia="Calibri" w:cstheme="minorHAnsi"/>
            <w:sz w:val="24"/>
            <w:szCs w:val="24"/>
          </w:rPr>
          <w:t>link</w:t>
        </w:r>
      </w:hyperlink>
      <w:r w:rsidR="0042460B" w:rsidRPr="0077105F">
        <w:rPr>
          <w:rFonts w:eastAsia="Calibri" w:cstheme="minorHAnsi"/>
          <w:bCs/>
          <w:color w:val="000000"/>
          <w:sz w:val="24"/>
          <w:szCs w:val="24"/>
        </w:rPr>
        <w:t xml:space="preserve">. </w:t>
      </w:r>
    </w:p>
    <w:p w14:paraId="2873D60B" w14:textId="00FBF347" w:rsidR="0042460B" w:rsidRDefault="0042460B" w:rsidP="0042460B">
      <w:pPr>
        <w:spacing w:before="120" w:after="120" w:line="259" w:lineRule="auto"/>
        <w:rPr>
          <w:rFonts w:eastAsia="Calibri" w:cstheme="minorHAnsi"/>
          <w:b/>
          <w:bCs/>
          <w:i/>
          <w:color w:val="002060"/>
          <w:sz w:val="24"/>
          <w:szCs w:val="24"/>
        </w:rPr>
      </w:pPr>
      <w:r w:rsidRPr="0077105F">
        <w:rPr>
          <w:rFonts w:eastAsia="Calibri" w:cstheme="minorHAnsi"/>
          <w:b/>
          <w:bCs/>
          <w:i/>
          <w:color w:val="002060"/>
          <w:sz w:val="24"/>
          <w:szCs w:val="24"/>
        </w:rPr>
        <w:t xml:space="preserve">Comment: </w:t>
      </w:r>
      <w:r w:rsidR="00D7791E">
        <w:rPr>
          <w:rFonts w:eastAsia="Calibri" w:cstheme="minorHAnsi"/>
          <w:b/>
          <w:bCs/>
          <w:i/>
          <w:color w:val="002060"/>
          <w:sz w:val="24"/>
          <w:szCs w:val="24"/>
        </w:rPr>
        <w:t xml:space="preserve">The </w:t>
      </w:r>
      <w:r w:rsidR="00D7791E" w:rsidRPr="00D7791E">
        <w:rPr>
          <w:rFonts w:eastAsia="Calibri" w:cstheme="minorHAnsi"/>
          <w:b/>
          <w:bCs/>
          <w:i/>
          <w:color w:val="002060"/>
          <w:sz w:val="24"/>
          <w:szCs w:val="24"/>
        </w:rPr>
        <w:t>Depository Institution Management Interlocks Act (DIMIA)</w:t>
      </w:r>
      <w:r w:rsidR="00D7791E">
        <w:rPr>
          <w:rFonts w:eastAsia="Calibri" w:cstheme="minorHAnsi"/>
          <w:b/>
          <w:bCs/>
          <w:i/>
          <w:color w:val="002060"/>
          <w:sz w:val="24"/>
          <w:szCs w:val="24"/>
        </w:rPr>
        <w:t xml:space="preserve"> </w:t>
      </w:r>
      <w:r w:rsidR="00D7791E" w:rsidRPr="00D7791E">
        <w:rPr>
          <w:rFonts w:eastAsia="Calibri" w:cstheme="minorHAnsi"/>
          <w:b/>
          <w:bCs/>
          <w:i/>
          <w:color w:val="002060"/>
          <w:sz w:val="24"/>
          <w:szCs w:val="24"/>
        </w:rPr>
        <w:t>prohibition prevents a management official of a depository organization with</w:t>
      </w:r>
      <w:r w:rsidR="004C0273">
        <w:rPr>
          <w:rFonts w:eastAsia="Calibri" w:cstheme="minorHAnsi"/>
          <w:b/>
          <w:bCs/>
          <w:i/>
          <w:color w:val="002060"/>
          <w:sz w:val="24"/>
          <w:szCs w:val="24"/>
        </w:rPr>
        <w:t xml:space="preserve"> more than</w:t>
      </w:r>
      <w:r w:rsidR="00D7791E" w:rsidRPr="00D7791E">
        <w:rPr>
          <w:rFonts w:eastAsia="Calibri" w:cstheme="minorHAnsi"/>
          <w:b/>
          <w:bCs/>
          <w:i/>
          <w:color w:val="002060"/>
          <w:sz w:val="24"/>
          <w:szCs w:val="24"/>
        </w:rPr>
        <w:t xml:space="preserve"> $2.5 billion total assets (or any of its affiliates) from simultaneously serving as a management official of an unaffiliated deposition organization with </w:t>
      </w:r>
      <w:r w:rsidR="004C0273">
        <w:rPr>
          <w:rFonts w:eastAsia="Calibri" w:cstheme="minorHAnsi"/>
          <w:b/>
          <w:bCs/>
          <w:i/>
          <w:color w:val="002060"/>
          <w:sz w:val="24"/>
          <w:szCs w:val="24"/>
        </w:rPr>
        <w:t>more than</w:t>
      </w:r>
      <w:r w:rsidR="00D7791E" w:rsidRPr="00D7791E">
        <w:rPr>
          <w:rFonts w:eastAsia="Calibri" w:cstheme="minorHAnsi"/>
          <w:b/>
          <w:bCs/>
          <w:i/>
          <w:color w:val="002060"/>
          <w:sz w:val="24"/>
          <w:szCs w:val="24"/>
        </w:rPr>
        <w:t xml:space="preserve"> $1.5 billion total assets (or any of its affiliates), regardless of where the organizations are located.  These thresholds were established in 1996. </w:t>
      </w:r>
      <w:r w:rsidR="00311462">
        <w:rPr>
          <w:rFonts w:eastAsia="Calibri" w:cstheme="minorHAnsi"/>
          <w:b/>
          <w:bCs/>
          <w:i/>
          <w:color w:val="002060"/>
          <w:sz w:val="24"/>
          <w:szCs w:val="24"/>
        </w:rPr>
        <w:t>As community banks face the dilemma of aging boards, this change may provide helpful relief in recruiting new directors</w:t>
      </w:r>
      <w:r>
        <w:rPr>
          <w:rFonts w:eastAsia="Calibri" w:cstheme="minorHAnsi"/>
          <w:b/>
          <w:bCs/>
          <w:i/>
          <w:color w:val="002060"/>
          <w:sz w:val="24"/>
          <w:szCs w:val="24"/>
        </w:rPr>
        <w:t xml:space="preserve">. </w:t>
      </w:r>
    </w:p>
    <w:p w14:paraId="4892587B" w14:textId="1B3A2EC8" w:rsidR="00E80775" w:rsidRDefault="00E80775" w:rsidP="003E78D1">
      <w:pPr>
        <w:spacing w:before="120" w:after="120" w:line="259" w:lineRule="auto"/>
        <w:rPr>
          <w:rFonts w:eastAsia="Calibri" w:cstheme="minorHAnsi"/>
          <w:b/>
          <w:bCs/>
          <w:i/>
          <w:color w:val="002060"/>
          <w:sz w:val="24"/>
          <w:szCs w:val="24"/>
        </w:rPr>
      </w:pPr>
    </w:p>
    <w:bookmarkEnd w:id="13"/>
    <w:bookmarkEnd w:id="14"/>
    <w:bookmarkEnd w:id="15"/>
    <w:bookmarkEnd w:id="16"/>
    <w:bookmarkEnd w:id="17"/>
    <w:p w14:paraId="1E4E79CD" w14:textId="2C868791" w:rsidR="0042460B" w:rsidRPr="0077105F" w:rsidRDefault="00536814" w:rsidP="0042460B">
      <w:pPr>
        <w:tabs>
          <w:tab w:val="left" w:pos="7284"/>
        </w:tabs>
        <w:spacing w:before="120" w:after="120" w:line="259" w:lineRule="auto"/>
        <w:rPr>
          <w:rFonts w:eastAsia="Calibri" w:cstheme="minorHAnsi"/>
          <w:b/>
          <w:bCs/>
          <w:i/>
          <w:color w:val="000000" w:themeColor="text1"/>
          <w:sz w:val="24"/>
          <w:szCs w:val="24"/>
        </w:rPr>
      </w:pPr>
      <w:r w:rsidRPr="0021592B">
        <w:rPr>
          <w:rFonts w:eastAsia="Calibri" w:cstheme="minorHAnsi"/>
          <w:b/>
          <w:bCs/>
          <w:i/>
          <w:color w:val="000000" w:themeColor="text1"/>
          <w:sz w:val="24"/>
          <w:szCs w:val="24"/>
        </w:rPr>
        <w:t>Federal Banking Agencies Issue Final Rule to Exempt Residential Real Estate Transactions of $400,000 or Less from Appraisal Requirements</w:t>
      </w:r>
      <w:r w:rsidRPr="00536814">
        <w:rPr>
          <w:rFonts w:eastAsia="Calibri" w:cstheme="minorHAnsi"/>
          <w:b/>
          <w:bCs/>
          <w:i/>
          <w:color w:val="000000" w:themeColor="text1"/>
          <w:sz w:val="24"/>
          <w:szCs w:val="24"/>
        </w:rPr>
        <w:t xml:space="preserve"> </w:t>
      </w:r>
      <w:r w:rsidR="0042460B">
        <w:rPr>
          <w:rFonts w:eastAsia="Calibri" w:cstheme="minorHAnsi"/>
          <w:b/>
          <w:bCs/>
          <w:i/>
          <w:color w:val="000000" w:themeColor="text1"/>
          <w:sz w:val="24"/>
          <w:szCs w:val="24"/>
        </w:rPr>
        <w:t>(</w:t>
      </w:r>
      <w:r>
        <w:rPr>
          <w:rFonts w:eastAsia="Calibri" w:cstheme="minorHAnsi"/>
          <w:b/>
          <w:bCs/>
          <w:i/>
          <w:color w:val="000000" w:themeColor="text1"/>
          <w:sz w:val="24"/>
          <w:szCs w:val="24"/>
        </w:rPr>
        <w:t>09</w:t>
      </w:r>
      <w:r w:rsidR="0042460B">
        <w:rPr>
          <w:rFonts w:eastAsia="Calibri" w:cstheme="minorHAnsi"/>
          <w:b/>
          <w:bCs/>
          <w:i/>
          <w:color w:val="000000" w:themeColor="text1"/>
          <w:sz w:val="24"/>
          <w:szCs w:val="24"/>
        </w:rPr>
        <w:t>.</w:t>
      </w:r>
      <w:r>
        <w:rPr>
          <w:rFonts w:eastAsia="Calibri" w:cstheme="minorHAnsi"/>
          <w:b/>
          <w:bCs/>
          <w:i/>
          <w:color w:val="000000" w:themeColor="text1"/>
          <w:sz w:val="24"/>
          <w:szCs w:val="24"/>
        </w:rPr>
        <w:t>27</w:t>
      </w:r>
      <w:r w:rsidR="0042460B">
        <w:rPr>
          <w:rFonts w:eastAsia="Calibri" w:cstheme="minorHAnsi"/>
          <w:b/>
          <w:bCs/>
          <w:i/>
          <w:color w:val="000000" w:themeColor="text1"/>
          <w:sz w:val="24"/>
          <w:szCs w:val="24"/>
        </w:rPr>
        <w:t>.2019</w:t>
      </w:r>
      <w:r w:rsidR="0042460B" w:rsidRPr="0077105F">
        <w:rPr>
          <w:rFonts w:eastAsia="Calibri" w:cstheme="minorHAnsi"/>
          <w:b/>
          <w:bCs/>
          <w:i/>
          <w:color w:val="000000" w:themeColor="text1"/>
          <w:sz w:val="24"/>
          <w:szCs w:val="24"/>
        </w:rPr>
        <w:t>)</w:t>
      </w:r>
      <w:r w:rsidR="0042460B">
        <w:rPr>
          <w:rFonts w:eastAsia="Calibri" w:cstheme="minorHAnsi"/>
          <w:b/>
          <w:bCs/>
          <w:i/>
          <w:color w:val="000000" w:themeColor="text1"/>
          <w:sz w:val="24"/>
          <w:szCs w:val="24"/>
        </w:rPr>
        <w:t xml:space="preserve"> </w:t>
      </w:r>
      <w:r w:rsidR="00801FC0">
        <w:rPr>
          <w:rFonts w:eastAsia="Calibri" w:cstheme="minorHAnsi"/>
          <w:b/>
          <w:bCs/>
          <w:i/>
          <w:noProof/>
          <w:color w:val="000000" w:themeColor="text1"/>
          <w:sz w:val="24"/>
          <w:szCs w:val="24"/>
        </w:rPr>
        <w:drawing>
          <wp:inline distT="0" distB="0" distL="0" distR="0" wp14:anchorId="3AC714F7" wp14:editId="0388A74B">
            <wp:extent cx="274320" cy="219710"/>
            <wp:effectExtent l="0" t="0" r="0"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74320" cy="219710"/>
                    </a:xfrm>
                    <a:prstGeom prst="rect">
                      <a:avLst/>
                    </a:prstGeom>
                    <a:noFill/>
                  </pic:spPr>
                </pic:pic>
              </a:graphicData>
            </a:graphic>
          </wp:inline>
        </w:drawing>
      </w:r>
    </w:p>
    <w:p w14:paraId="6060E61F" w14:textId="77777777" w:rsidR="00536814" w:rsidRPr="00536814" w:rsidRDefault="00536814" w:rsidP="00536814">
      <w:pPr>
        <w:spacing w:before="120" w:after="120" w:line="259" w:lineRule="auto"/>
        <w:rPr>
          <w:rFonts w:ascii="Calibri" w:eastAsia="Calibri" w:hAnsi="Calibri" w:cs="Arial"/>
          <w:color w:val="101820"/>
          <w:sz w:val="24"/>
          <w:szCs w:val="24"/>
        </w:rPr>
      </w:pPr>
      <w:r w:rsidRPr="00536814">
        <w:rPr>
          <w:rFonts w:ascii="Calibri" w:eastAsia="Calibri" w:hAnsi="Calibri" w:cs="Arial"/>
          <w:color w:val="101820"/>
          <w:sz w:val="24"/>
          <w:szCs w:val="24"/>
        </w:rPr>
        <w:t>WASHINGTON— The Federal Reserve, the Federal Deposit Insurance Corporation, and the Office of the Comptroller of the Currency have adopted a final rule that increases the threshold for residential real estate transactions requiring an appraisal from $250,000 to $400,000.</w:t>
      </w:r>
    </w:p>
    <w:p w14:paraId="5B8F9471" w14:textId="77777777" w:rsidR="00536814" w:rsidRPr="00536814" w:rsidRDefault="00536814" w:rsidP="00536814">
      <w:pPr>
        <w:spacing w:before="120" w:after="120" w:line="259" w:lineRule="auto"/>
        <w:rPr>
          <w:rFonts w:ascii="Calibri" w:eastAsia="Calibri" w:hAnsi="Calibri" w:cs="Arial"/>
          <w:color w:val="101820"/>
          <w:sz w:val="24"/>
          <w:szCs w:val="24"/>
        </w:rPr>
      </w:pPr>
      <w:r w:rsidRPr="00536814">
        <w:rPr>
          <w:rFonts w:ascii="Calibri" w:eastAsia="Calibri" w:hAnsi="Calibri" w:cs="Arial"/>
          <w:color w:val="101820"/>
          <w:sz w:val="24"/>
          <w:szCs w:val="24"/>
        </w:rPr>
        <w:t>The appraisal threshold was last changed in 1994. Given price appreciation in residential real estate transactions since that time, the change will provide burden relief without posing a threat to the safety and soundness of financial institutions.</w:t>
      </w:r>
    </w:p>
    <w:p w14:paraId="30AFE6E3" w14:textId="77777777" w:rsidR="00536814" w:rsidRPr="00536814" w:rsidRDefault="00536814" w:rsidP="00536814">
      <w:pPr>
        <w:spacing w:before="120" w:after="120" w:line="259" w:lineRule="auto"/>
        <w:rPr>
          <w:rFonts w:ascii="Calibri" w:eastAsia="Calibri" w:hAnsi="Calibri" w:cs="Arial"/>
          <w:color w:val="101820"/>
          <w:sz w:val="24"/>
          <w:szCs w:val="24"/>
        </w:rPr>
      </w:pPr>
      <w:r w:rsidRPr="00536814">
        <w:rPr>
          <w:rFonts w:ascii="Calibri" w:eastAsia="Calibri" w:hAnsi="Calibri" w:cs="Arial"/>
          <w:color w:val="101820"/>
          <w:sz w:val="24"/>
          <w:szCs w:val="24"/>
        </w:rPr>
        <w:t>For transactions exempted from the appraisal requirement, the final rule requires institutions to obtain an evaluation to provide an estimate of the market value of real estate collateral. Evaluations are generally less burdensome than appraisals and have been required since the 1990s.</w:t>
      </w:r>
    </w:p>
    <w:p w14:paraId="20338710" w14:textId="77777777" w:rsidR="00536814" w:rsidRPr="00536814" w:rsidRDefault="00536814" w:rsidP="00536814">
      <w:pPr>
        <w:spacing w:before="120" w:after="120" w:line="259" w:lineRule="auto"/>
        <w:rPr>
          <w:rFonts w:ascii="Calibri" w:eastAsia="Calibri" w:hAnsi="Calibri" w:cs="Arial"/>
          <w:color w:val="101820"/>
          <w:sz w:val="24"/>
          <w:szCs w:val="24"/>
        </w:rPr>
      </w:pPr>
      <w:r w:rsidRPr="00536814">
        <w:rPr>
          <w:rFonts w:ascii="Calibri" w:eastAsia="Calibri" w:hAnsi="Calibri" w:cs="Arial"/>
          <w:color w:val="101820"/>
          <w:sz w:val="24"/>
          <w:szCs w:val="24"/>
        </w:rPr>
        <w:t>The final rule incorporates the appraisal exemption for rural residential properties provided by the Economic Growth, Regulatory Relief, and Consumer Protection Act and similarly requires evaluations for these transactions. The final rule also requires institutions to review appraisals for compliance with the Uniform Standards of Professional Appraisal Practice.</w:t>
      </w:r>
    </w:p>
    <w:p w14:paraId="3C555AEE" w14:textId="77777777" w:rsidR="00536814" w:rsidRPr="00536814" w:rsidRDefault="00536814" w:rsidP="00536814">
      <w:pPr>
        <w:spacing w:before="120" w:after="120" w:line="259" w:lineRule="auto"/>
        <w:rPr>
          <w:rFonts w:ascii="Calibri" w:eastAsia="Calibri" w:hAnsi="Calibri" w:cs="Arial"/>
          <w:color w:val="101820"/>
          <w:sz w:val="24"/>
          <w:szCs w:val="24"/>
        </w:rPr>
      </w:pPr>
      <w:r w:rsidRPr="00536814">
        <w:rPr>
          <w:rFonts w:ascii="Calibri" w:eastAsia="Calibri" w:hAnsi="Calibri" w:cs="Arial"/>
          <w:color w:val="101820"/>
          <w:sz w:val="24"/>
          <w:szCs w:val="24"/>
        </w:rPr>
        <w:t xml:space="preserve">The agencies have consulted with the Consumer Financial Protection Bureau (CFPB), and, as required by statute, have received its concurrence on the increased threshold. The CFPB released its letter concurring that the increased threshold provides reasonable protection for consumers who purchase </w:t>
      </w:r>
      <w:proofErr w:type="gramStart"/>
      <w:r w:rsidRPr="00536814">
        <w:rPr>
          <w:rFonts w:ascii="Calibri" w:eastAsia="Calibri" w:hAnsi="Calibri" w:cs="Arial"/>
          <w:color w:val="101820"/>
          <w:sz w:val="24"/>
          <w:szCs w:val="24"/>
        </w:rPr>
        <w:t>1-4 unit</w:t>
      </w:r>
      <w:proofErr w:type="gramEnd"/>
      <w:r w:rsidRPr="00536814">
        <w:rPr>
          <w:rFonts w:ascii="Calibri" w:eastAsia="Calibri" w:hAnsi="Calibri" w:cs="Arial"/>
          <w:color w:val="101820"/>
          <w:sz w:val="24"/>
          <w:szCs w:val="24"/>
        </w:rPr>
        <w:t xml:space="preserve"> single-family residences.</w:t>
      </w:r>
    </w:p>
    <w:p w14:paraId="3821F582" w14:textId="77777777" w:rsidR="00536814" w:rsidRPr="00536814" w:rsidRDefault="00536814" w:rsidP="00536814">
      <w:pPr>
        <w:spacing w:before="120" w:after="120" w:line="259" w:lineRule="auto"/>
        <w:rPr>
          <w:rFonts w:ascii="Calibri" w:eastAsia="Calibri" w:hAnsi="Calibri" w:cs="Arial"/>
          <w:color w:val="101820"/>
          <w:sz w:val="24"/>
          <w:szCs w:val="24"/>
        </w:rPr>
      </w:pPr>
      <w:r w:rsidRPr="00536814">
        <w:rPr>
          <w:rFonts w:ascii="Calibri" w:eastAsia="Calibri" w:hAnsi="Calibri" w:cs="Arial"/>
          <w:color w:val="101820"/>
          <w:sz w:val="24"/>
          <w:szCs w:val="24"/>
        </w:rPr>
        <w:t>Attachments:</w:t>
      </w:r>
    </w:p>
    <w:p w14:paraId="09D444D6" w14:textId="525C377B" w:rsidR="00536814" w:rsidRPr="0021592B" w:rsidRDefault="0021592B" w:rsidP="00536814">
      <w:pPr>
        <w:spacing w:before="120" w:after="120" w:line="259" w:lineRule="auto"/>
        <w:rPr>
          <w:rStyle w:val="Hyperlink"/>
          <w:rFonts w:ascii="Calibri" w:eastAsia="Calibri" w:hAnsi="Calibri" w:cs="Arial"/>
          <w:sz w:val="24"/>
          <w:szCs w:val="24"/>
        </w:rPr>
      </w:pPr>
      <w:r>
        <w:rPr>
          <w:rFonts w:ascii="Calibri" w:eastAsia="Calibri" w:hAnsi="Calibri" w:cs="Arial"/>
          <w:sz w:val="24"/>
          <w:szCs w:val="24"/>
        </w:rPr>
        <w:fldChar w:fldCharType="begin"/>
      </w:r>
      <w:r>
        <w:rPr>
          <w:rFonts w:ascii="Calibri" w:eastAsia="Calibri" w:hAnsi="Calibri" w:cs="Arial"/>
          <w:sz w:val="24"/>
          <w:szCs w:val="24"/>
        </w:rPr>
        <w:instrText xml:space="preserve"> HYPERLINK "https://www.fdic.gov/news/board/2019/2019-08-20-notice-sum-b-fr.pdf" </w:instrText>
      </w:r>
      <w:r>
        <w:rPr>
          <w:rFonts w:ascii="Calibri" w:eastAsia="Calibri" w:hAnsi="Calibri" w:cs="Arial"/>
          <w:sz w:val="24"/>
          <w:szCs w:val="24"/>
        </w:rPr>
        <w:fldChar w:fldCharType="separate"/>
      </w:r>
      <w:r w:rsidR="00536814" w:rsidRPr="0021592B">
        <w:rPr>
          <w:rStyle w:val="Hyperlink"/>
          <w:rFonts w:ascii="Calibri" w:eastAsia="Calibri" w:hAnsi="Calibri" w:cs="Arial"/>
          <w:sz w:val="24"/>
          <w:szCs w:val="24"/>
        </w:rPr>
        <w:t>Final Rule Real Estate Appraisals for Residential Real Estate Transactions</w:t>
      </w:r>
    </w:p>
    <w:p w14:paraId="3003234C" w14:textId="0A29A959" w:rsidR="00536814" w:rsidRDefault="0021592B" w:rsidP="00536814">
      <w:pPr>
        <w:spacing w:before="120" w:after="120" w:line="259" w:lineRule="auto"/>
        <w:rPr>
          <w:rFonts w:ascii="Calibri" w:eastAsia="Calibri" w:hAnsi="Calibri" w:cs="Arial"/>
          <w:color w:val="101820"/>
          <w:sz w:val="24"/>
          <w:szCs w:val="24"/>
        </w:rPr>
      </w:pPr>
      <w:r>
        <w:rPr>
          <w:rFonts w:ascii="Calibri" w:eastAsia="Calibri" w:hAnsi="Calibri" w:cs="Arial"/>
          <w:sz w:val="24"/>
          <w:szCs w:val="24"/>
        </w:rPr>
        <w:fldChar w:fldCharType="end"/>
      </w:r>
      <w:hyperlink r:id="rId25" w:history="1">
        <w:r w:rsidR="00536814" w:rsidRPr="00536814">
          <w:rPr>
            <w:rStyle w:val="Hyperlink"/>
            <w:rFonts w:ascii="Calibri" w:eastAsia="Calibri" w:hAnsi="Calibri" w:cs="Arial"/>
            <w:sz w:val="24"/>
            <w:szCs w:val="24"/>
          </w:rPr>
          <w:t>Concurrence letter from the CFPB</w:t>
        </w:r>
      </w:hyperlink>
    </w:p>
    <w:p w14:paraId="6D3E4249" w14:textId="2E5043B7" w:rsidR="0042460B" w:rsidRDefault="0042460B" w:rsidP="00536814">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26" w:history="1">
        <w:r w:rsidRPr="00536814">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0881CE07" w14:textId="75BF4095" w:rsidR="0042460B" w:rsidRDefault="0042460B" w:rsidP="0042460B">
      <w:pPr>
        <w:spacing w:before="120" w:after="120" w:line="259" w:lineRule="auto"/>
        <w:rPr>
          <w:rFonts w:eastAsia="Calibri" w:cstheme="minorHAnsi"/>
          <w:b/>
          <w:bCs/>
          <w:i/>
          <w:color w:val="002060"/>
          <w:sz w:val="24"/>
          <w:szCs w:val="24"/>
        </w:rPr>
      </w:pPr>
      <w:r w:rsidRPr="0077105F">
        <w:rPr>
          <w:rFonts w:eastAsia="Calibri" w:cstheme="minorHAnsi"/>
          <w:b/>
          <w:bCs/>
          <w:i/>
          <w:color w:val="002060"/>
          <w:sz w:val="24"/>
          <w:szCs w:val="24"/>
        </w:rPr>
        <w:t xml:space="preserve">Comment: </w:t>
      </w:r>
      <w:r w:rsidR="00536814" w:rsidRPr="00536814">
        <w:rPr>
          <w:rFonts w:eastAsia="Calibri" w:cstheme="minorHAnsi"/>
          <w:b/>
          <w:bCs/>
          <w:i/>
          <w:color w:val="002060"/>
          <w:sz w:val="24"/>
          <w:szCs w:val="24"/>
        </w:rPr>
        <w:t xml:space="preserve">This </w:t>
      </w:r>
      <w:hyperlink r:id="rId27" w:history="1">
        <w:r w:rsidR="00536814" w:rsidRPr="009F61D2">
          <w:rPr>
            <w:rStyle w:val="Hyperlink"/>
            <w:rFonts w:eastAsia="Calibri" w:cstheme="minorHAnsi"/>
            <w:b/>
            <w:bCs/>
            <w:i/>
            <w:sz w:val="24"/>
            <w:szCs w:val="24"/>
          </w:rPr>
          <w:t>final rule</w:t>
        </w:r>
      </w:hyperlink>
      <w:r w:rsidR="00536814" w:rsidRPr="00536814">
        <w:rPr>
          <w:rFonts w:eastAsia="Calibri" w:cstheme="minorHAnsi"/>
          <w:b/>
          <w:bCs/>
          <w:i/>
          <w:color w:val="002060"/>
          <w:sz w:val="24"/>
          <w:szCs w:val="24"/>
        </w:rPr>
        <w:t xml:space="preserve"> is effective October 9, 2019 except for the amendments in instructions 4, 5, 9, 10, 14 and 15, which are effective January 1, 2020</w:t>
      </w:r>
      <w:r>
        <w:rPr>
          <w:rFonts w:eastAsia="Calibri" w:cstheme="minorHAnsi"/>
          <w:b/>
          <w:bCs/>
          <w:i/>
          <w:color w:val="002060"/>
          <w:sz w:val="24"/>
          <w:szCs w:val="24"/>
        </w:rPr>
        <w:t xml:space="preserve">. </w:t>
      </w:r>
      <w:r w:rsidR="00311462">
        <w:rPr>
          <w:rFonts w:eastAsia="Calibri" w:cstheme="minorHAnsi"/>
          <w:b/>
          <w:bCs/>
          <w:i/>
          <w:color w:val="002060"/>
          <w:sz w:val="24"/>
          <w:szCs w:val="24"/>
        </w:rPr>
        <w:t>It is a mystery to why they stuck with $400</w:t>
      </w:r>
      <w:r w:rsidR="004C0273">
        <w:rPr>
          <w:rFonts w:eastAsia="Calibri" w:cstheme="minorHAnsi"/>
          <w:b/>
          <w:bCs/>
          <w:i/>
          <w:color w:val="002060"/>
          <w:sz w:val="24"/>
          <w:szCs w:val="24"/>
        </w:rPr>
        <w:t>,000</w:t>
      </w:r>
      <w:r w:rsidR="00311462">
        <w:rPr>
          <w:rFonts w:eastAsia="Calibri" w:cstheme="minorHAnsi"/>
          <w:b/>
          <w:bCs/>
          <w:i/>
          <w:color w:val="002060"/>
          <w:sz w:val="24"/>
          <w:szCs w:val="24"/>
        </w:rPr>
        <w:t xml:space="preserve"> here and used $500</w:t>
      </w:r>
      <w:r w:rsidR="004C0273">
        <w:rPr>
          <w:rFonts w:eastAsia="Calibri" w:cstheme="minorHAnsi"/>
          <w:b/>
          <w:bCs/>
          <w:i/>
          <w:color w:val="002060"/>
          <w:sz w:val="24"/>
          <w:szCs w:val="24"/>
        </w:rPr>
        <w:t>,000</w:t>
      </w:r>
      <w:r w:rsidR="00311462">
        <w:rPr>
          <w:rFonts w:eastAsia="Calibri" w:cstheme="minorHAnsi"/>
          <w:b/>
          <w:bCs/>
          <w:i/>
          <w:color w:val="002060"/>
          <w:sz w:val="24"/>
          <w:szCs w:val="24"/>
        </w:rPr>
        <w:t xml:space="preserve"> as the threshold for commercial transactions!</w:t>
      </w:r>
      <w:r w:rsidR="00D7791E" w:rsidRPr="00D7791E">
        <w:t xml:space="preserve"> </w:t>
      </w:r>
      <w:r w:rsidR="00D7791E">
        <w:rPr>
          <w:rFonts w:eastAsia="Calibri" w:cstheme="minorHAnsi"/>
          <w:b/>
          <w:bCs/>
          <w:i/>
          <w:color w:val="002060"/>
          <w:sz w:val="24"/>
          <w:szCs w:val="24"/>
        </w:rPr>
        <w:t xml:space="preserve">And </w:t>
      </w:r>
      <w:r w:rsidR="00D7791E" w:rsidRPr="00D7791E">
        <w:rPr>
          <w:rFonts w:eastAsia="Calibri" w:cstheme="minorHAnsi"/>
          <w:b/>
          <w:bCs/>
          <w:i/>
          <w:color w:val="002060"/>
          <w:sz w:val="24"/>
          <w:szCs w:val="24"/>
        </w:rPr>
        <w:t>it’s important to note that the new rules do not apply to loans wholly or partially insured or guaranteed by, or eligible for sale to, a government agency or government-sponsored agency.</w:t>
      </w:r>
    </w:p>
    <w:p w14:paraId="6B5A2853" w14:textId="758FB279" w:rsidR="00236BFB" w:rsidRDefault="00094951" w:rsidP="00F66C17">
      <w:pPr>
        <w:pStyle w:val="CCTOCHeading"/>
        <w:spacing w:line="259" w:lineRule="auto"/>
        <w:rPr>
          <w:rFonts w:asciiTheme="minorHAnsi" w:hAnsiTheme="minorHAnsi" w:cstheme="minorHAnsi"/>
        </w:rPr>
      </w:pPr>
      <w:bookmarkStart w:id="21" w:name="_Toc22799374"/>
      <w:bookmarkEnd w:id="18"/>
      <w:r>
        <w:rPr>
          <w:rFonts w:asciiTheme="minorHAnsi" w:hAnsiTheme="minorHAnsi" w:cstheme="minorHAnsi"/>
        </w:rPr>
        <w:lastRenderedPageBreak/>
        <w:t>CFPB</w:t>
      </w:r>
      <w:r w:rsidR="00063F3D" w:rsidRPr="00436AD8">
        <w:rPr>
          <w:rFonts w:asciiTheme="minorHAnsi" w:hAnsiTheme="minorHAnsi" w:cstheme="minorHAnsi"/>
        </w:rPr>
        <w:t xml:space="preserve"> actions</w:t>
      </w:r>
      <w:bookmarkEnd w:id="1"/>
      <w:bookmarkEnd w:id="2"/>
      <w:r w:rsidR="00063F3D" w:rsidRPr="00436AD8">
        <w:rPr>
          <w:rFonts w:asciiTheme="minorHAnsi" w:hAnsiTheme="minorHAnsi" w:cstheme="minorHAnsi"/>
        </w:rPr>
        <w:t xml:space="preserve"> </w:t>
      </w:r>
      <w:bookmarkStart w:id="22" w:name="_Toc504138794"/>
      <w:bookmarkStart w:id="23" w:name="_Hlk495909581"/>
      <w:bookmarkStart w:id="24" w:name="_Hlk493338318"/>
      <w:bookmarkStart w:id="25" w:name="_Toc409519094"/>
      <w:bookmarkStart w:id="26" w:name="_Hlk501111191"/>
      <w:bookmarkStart w:id="27" w:name="_Hlk498321497"/>
      <w:bookmarkEnd w:id="3"/>
      <w:r w:rsidR="00063F3D" w:rsidRPr="006E7501">
        <w:rPr>
          <w:rFonts w:asciiTheme="minorHAnsi" w:hAnsiTheme="minorHAnsi" w:cstheme="minorHAnsi"/>
        </w:rPr>
        <w:t>and news</w:t>
      </w:r>
      <w:bookmarkStart w:id="28" w:name="_Hlk514920383"/>
      <w:bookmarkEnd w:id="21"/>
    </w:p>
    <w:p w14:paraId="44B60827" w14:textId="7FE15F08" w:rsidR="00B45C02" w:rsidRPr="0077105F" w:rsidRDefault="00B45C02" w:rsidP="00B45C02">
      <w:pPr>
        <w:tabs>
          <w:tab w:val="left" w:pos="7284"/>
        </w:tabs>
        <w:spacing w:before="120" w:after="120" w:line="259" w:lineRule="auto"/>
        <w:rPr>
          <w:rFonts w:eastAsia="Calibri" w:cstheme="minorHAnsi"/>
          <w:b/>
          <w:bCs/>
          <w:i/>
          <w:color w:val="000000" w:themeColor="text1"/>
          <w:sz w:val="24"/>
          <w:szCs w:val="24"/>
        </w:rPr>
      </w:pPr>
      <w:bookmarkStart w:id="29" w:name="_Hlk22545657"/>
      <w:bookmarkStart w:id="30" w:name="_Hlk536004833"/>
      <w:r w:rsidRPr="00006E04">
        <w:rPr>
          <w:rFonts w:eastAsia="Calibri" w:cstheme="minorHAnsi"/>
          <w:b/>
          <w:bCs/>
          <w:i/>
          <w:color w:val="000000" w:themeColor="text1"/>
          <w:sz w:val="24"/>
          <w:szCs w:val="24"/>
        </w:rPr>
        <w:t>CFPB Issues 2019 HMDA Final Rule</w:t>
      </w:r>
      <w:r w:rsidRPr="00B45C02">
        <w:rPr>
          <w:rFonts w:eastAsia="Calibri" w:cstheme="minorHAnsi"/>
          <w:b/>
          <w:bCs/>
          <w:i/>
          <w:color w:val="000000" w:themeColor="text1"/>
          <w:sz w:val="24"/>
          <w:szCs w:val="24"/>
        </w:rPr>
        <w:t xml:space="preserve"> </w:t>
      </w:r>
      <w:r>
        <w:rPr>
          <w:rFonts w:eastAsia="Calibri" w:cstheme="minorHAnsi"/>
          <w:b/>
          <w:bCs/>
          <w:i/>
          <w:color w:val="000000" w:themeColor="text1"/>
          <w:sz w:val="24"/>
          <w:szCs w:val="24"/>
        </w:rPr>
        <w:t>(10.10.2019</w:t>
      </w:r>
      <w:r w:rsidRPr="0077105F">
        <w:rPr>
          <w:rFonts w:eastAsia="Calibri" w:cstheme="minorHAnsi"/>
          <w:b/>
          <w:bCs/>
          <w:i/>
          <w:color w:val="000000" w:themeColor="text1"/>
          <w:sz w:val="24"/>
          <w:szCs w:val="24"/>
        </w:rPr>
        <w:t>)</w:t>
      </w:r>
      <w:r>
        <w:rPr>
          <w:rFonts w:eastAsia="Calibri" w:cstheme="minorHAnsi"/>
          <w:b/>
          <w:bCs/>
          <w:i/>
          <w:color w:val="000000" w:themeColor="text1"/>
          <w:sz w:val="24"/>
          <w:szCs w:val="24"/>
        </w:rPr>
        <w:t xml:space="preserve"> </w:t>
      </w:r>
      <w:r w:rsidR="007976BB">
        <w:rPr>
          <w:rFonts w:eastAsia="Calibri" w:cstheme="minorHAnsi"/>
          <w:b/>
          <w:bCs/>
          <w:i/>
          <w:noProof/>
          <w:color w:val="000000" w:themeColor="text1"/>
          <w:sz w:val="24"/>
          <w:szCs w:val="24"/>
        </w:rPr>
        <w:drawing>
          <wp:inline distT="0" distB="0" distL="0" distR="0" wp14:anchorId="4D76BD08" wp14:editId="6A0FEC19">
            <wp:extent cx="274320" cy="219710"/>
            <wp:effectExtent l="0" t="0" r="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4320" cy="219710"/>
                    </a:xfrm>
                    <a:prstGeom prst="rect">
                      <a:avLst/>
                    </a:prstGeom>
                    <a:noFill/>
                  </pic:spPr>
                </pic:pic>
              </a:graphicData>
            </a:graphic>
          </wp:inline>
        </w:drawing>
      </w:r>
    </w:p>
    <w:p w14:paraId="49405D85" w14:textId="79C63BE0" w:rsidR="00B45C02" w:rsidRPr="00B45C02" w:rsidRDefault="00B45C02" w:rsidP="00B45C02">
      <w:pPr>
        <w:spacing w:before="120" w:after="120" w:line="259" w:lineRule="auto"/>
        <w:rPr>
          <w:rFonts w:ascii="Calibri" w:eastAsia="Calibri" w:hAnsi="Calibri" w:cs="Arial"/>
          <w:color w:val="101820"/>
          <w:sz w:val="24"/>
          <w:szCs w:val="24"/>
        </w:rPr>
      </w:pPr>
      <w:r>
        <w:rPr>
          <w:rFonts w:ascii="Calibri" w:eastAsia="Calibri" w:hAnsi="Calibri" w:cs="Arial"/>
          <w:color w:val="101820"/>
          <w:sz w:val="24"/>
          <w:szCs w:val="24"/>
        </w:rPr>
        <w:t>T</w:t>
      </w:r>
      <w:r w:rsidRPr="00B45C02">
        <w:rPr>
          <w:rFonts w:ascii="Calibri" w:eastAsia="Calibri" w:hAnsi="Calibri" w:cs="Arial"/>
          <w:color w:val="101820"/>
          <w:sz w:val="24"/>
          <w:szCs w:val="24"/>
        </w:rPr>
        <w:t xml:space="preserve">he Bureau issued a final rule amending Regulation C to extend the current temporary threshold of 500 open-end lines of credit to January 1, 2022. The final rule also incorporates into Regulation C the interpretations and procedures from the interpretive and procedural rule issued by the Bureau in August 2018, and further implements the amendments made to the Home Mortgage Disclosure Act by the Economic Growth, Regulatory Relief, and Consumer Protection Act. You can access the </w:t>
      </w:r>
      <w:hyperlink r:id="rId28" w:history="1">
        <w:r w:rsidRPr="00B45C02">
          <w:rPr>
            <w:rStyle w:val="Hyperlink"/>
            <w:rFonts w:ascii="Calibri" w:eastAsia="Calibri" w:hAnsi="Calibri" w:cs="Arial"/>
            <w:sz w:val="24"/>
            <w:szCs w:val="24"/>
          </w:rPr>
          <w:t>final rule</w:t>
        </w:r>
      </w:hyperlink>
      <w:r w:rsidRPr="00B45C02">
        <w:rPr>
          <w:rFonts w:ascii="Calibri" w:eastAsia="Calibri" w:hAnsi="Calibri" w:cs="Arial"/>
          <w:color w:val="101820"/>
          <w:sz w:val="24"/>
          <w:szCs w:val="24"/>
        </w:rPr>
        <w:t xml:space="preserve"> here.</w:t>
      </w:r>
    </w:p>
    <w:p w14:paraId="0D168269" w14:textId="1E54EA0D" w:rsidR="00B45C02" w:rsidRDefault="00B45C02" w:rsidP="00B45C02">
      <w:pPr>
        <w:spacing w:before="120" w:after="120" w:line="259" w:lineRule="auto"/>
        <w:rPr>
          <w:rFonts w:ascii="Calibri" w:eastAsia="Calibri" w:hAnsi="Calibri" w:cs="Arial"/>
          <w:color w:val="101820"/>
          <w:sz w:val="24"/>
          <w:szCs w:val="24"/>
        </w:rPr>
      </w:pPr>
      <w:r w:rsidRPr="00B45C02">
        <w:rPr>
          <w:rFonts w:ascii="Calibri" w:eastAsia="Calibri" w:hAnsi="Calibri" w:cs="Arial"/>
          <w:color w:val="101820"/>
          <w:sz w:val="24"/>
          <w:szCs w:val="24"/>
        </w:rPr>
        <w:t xml:space="preserve">The Bureau has also posted a summary of the final rule and an unofficial, informal redline reflecting changes to Regulation C to assist industry and other stakeholders. You can access the summary </w:t>
      </w:r>
      <w:hyperlink r:id="rId29" w:history="1">
        <w:r w:rsidRPr="00B45C02">
          <w:rPr>
            <w:rStyle w:val="Hyperlink"/>
            <w:rFonts w:ascii="Calibri" w:eastAsia="Calibri" w:hAnsi="Calibri" w:cs="Arial"/>
            <w:sz w:val="24"/>
            <w:szCs w:val="24"/>
          </w:rPr>
          <w:t>here</w:t>
        </w:r>
      </w:hyperlink>
      <w:r w:rsidRPr="00B45C02">
        <w:rPr>
          <w:rFonts w:ascii="Calibri" w:eastAsia="Calibri" w:hAnsi="Calibri" w:cs="Arial"/>
          <w:color w:val="101820"/>
          <w:sz w:val="24"/>
          <w:szCs w:val="24"/>
        </w:rPr>
        <w:t xml:space="preserve"> and the redline </w:t>
      </w:r>
      <w:hyperlink r:id="rId30" w:history="1">
        <w:r w:rsidRPr="00B45C02">
          <w:rPr>
            <w:rStyle w:val="Hyperlink"/>
            <w:rFonts w:ascii="Calibri" w:eastAsia="Calibri" w:hAnsi="Calibri" w:cs="Arial"/>
            <w:sz w:val="24"/>
            <w:szCs w:val="24"/>
          </w:rPr>
          <w:t>here</w:t>
        </w:r>
      </w:hyperlink>
      <w:r w:rsidRPr="00B45C02">
        <w:rPr>
          <w:rFonts w:ascii="Calibri" w:eastAsia="Calibri" w:hAnsi="Calibri" w:cs="Arial"/>
          <w:color w:val="101820"/>
          <w:sz w:val="24"/>
          <w:szCs w:val="24"/>
        </w:rPr>
        <w:t>.</w:t>
      </w:r>
    </w:p>
    <w:p w14:paraId="05F871D3" w14:textId="7DE754BC" w:rsidR="00B45C02" w:rsidRDefault="00B45C02" w:rsidP="00B45C02">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31" w:anchor="targetText=On%20October%2010%2C%202019%2C%20the,2018%20HMDA%20institutional%20coverage%20chart%20." w:history="1">
        <w:r w:rsidRPr="00B45C02">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273365A6" w14:textId="451D9741" w:rsidR="00B45C02" w:rsidRDefault="00B45C02" w:rsidP="00B45C02">
      <w:pPr>
        <w:spacing w:before="120" w:after="120" w:line="259" w:lineRule="auto"/>
        <w:rPr>
          <w:rFonts w:eastAsia="Calibri" w:cstheme="minorHAnsi"/>
          <w:b/>
          <w:bCs/>
          <w:i/>
          <w:color w:val="002060"/>
          <w:sz w:val="24"/>
          <w:szCs w:val="24"/>
        </w:rPr>
      </w:pPr>
      <w:r w:rsidRPr="0077105F">
        <w:rPr>
          <w:rFonts w:eastAsia="Calibri" w:cstheme="minorHAnsi"/>
          <w:b/>
          <w:bCs/>
          <w:i/>
          <w:color w:val="002060"/>
          <w:sz w:val="24"/>
          <w:szCs w:val="24"/>
        </w:rPr>
        <w:t xml:space="preserve">Comment: </w:t>
      </w:r>
      <w:r w:rsidR="004231D5">
        <w:rPr>
          <w:rFonts w:eastAsia="Calibri" w:cstheme="minorHAnsi"/>
          <w:b/>
          <w:bCs/>
          <w:i/>
          <w:color w:val="002060"/>
          <w:sz w:val="24"/>
          <w:szCs w:val="24"/>
        </w:rPr>
        <w:t>In May 2019</w:t>
      </w:r>
      <w:r w:rsidR="004C0273">
        <w:rPr>
          <w:rFonts w:eastAsia="Calibri" w:cstheme="minorHAnsi"/>
          <w:b/>
          <w:bCs/>
          <w:i/>
          <w:color w:val="002060"/>
          <w:sz w:val="24"/>
          <w:szCs w:val="24"/>
        </w:rPr>
        <w:t>,</w:t>
      </w:r>
      <w:r w:rsidR="004231D5">
        <w:rPr>
          <w:rFonts w:eastAsia="Calibri" w:cstheme="minorHAnsi"/>
          <w:b/>
          <w:bCs/>
          <w:i/>
          <w:color w:val="002060"/>
          <w:sz w:val="24"/>
          <w:szCs w:val="24"/>
        </w:rPr>
        <w:t xml:space="preserve"> the </w:t>
      </w:r>
      <w:r w:rsidR="00D7791E" w:rsidRPr="00D7791E">
        <w:rPr>
          <w:rFonts w:eastAsia="Calibri" w:cstheme="minorHAnsi"/>
          <w:b/>
          <w:bCs/>
          <w:i/>
          <w:color w:val="002060"/>
          <w:sz w:val="24"/>
          <w:szCs w:val="24"/>
        </w:rPr>
        <w:t>CFPB proposed new HMDA rules that would increase the HMDA reporting threshold for mortgages, meaning some</w:t>
      </w:r>
      <w:r w:rsidR="004231D5">
        <w:rPr>
          <w:rFonts w:eastAsia="Calibri" w:cstheme="minorHAnsi"/>
          <w:b/>
          <w:bCs/>
          <w:i/>
          <w:color w:val="002060"/>
          <w:sz w:val="24"/>
          <w:szCs w:val="24"/>
        </w:rPr>
        <w:t xml:space="preserve"> community banks </w:t>
      </w:r>
      <w:r w:rsidR="00D7791E" w:rsidRPr="00D7791E">
        <w:rPr>
          <w:rFonts w:eastAsia="Calibri" w:cstheme="minorHAnsi"/>
          <w:b/>
          <w:bCs/>
          <w:i/>
          <w:color w:val="002060"/>
          <w:sz w:val="24"/>
          <w:szCs w:val="24"/>
        </w:rPr>
        <w:t xml:space="preserve">may not have to report their lending activities at all. </w:t>
      </w:r>
      <w:r w:rsidR="00D7791E">
        <w:rPr>
          <w:rFonts w:eastAsia="Calibri" w:cstheme="minorHAnsi"/>
          <w:b/>
          <w:bCs/>
          <w:i/>
          <w:color w:val="002060"/>
          <w:sz w:val="24"/>
          <w:szCs w:val="24"/>
        </w:rPr>
        <w:t>W</w:t>
      </w:r>
      <w:r w:rsidR="00D7791E" w:rsidRPr="00D7791E">
        <w:rPr>
          <w:rFonts w:eastAsia="Calibri" w:cstheme="minorHAnsi"/>
          <w:b/>
          <w:bCs/>
          <w:i/>
          <w:color w:val="002060"/>
          <w:sz w:val="24"/>
          <w:szCs w:val="24"/>
        </w:rPr>
        <w:t>hile the CFPB said it expected the new threshold to go into effect on January 1, 2020, it is now saying it will not issue a final rule that covers these thresholds until 2020.</w:t>
      </w:r>
    </w:p>
    <w:p w14:paraId="424D8EDB" w14:textId="77777777" w:rsidR="00B45C02" w:rsidRDefault="00B45C02" w:rsidP="00DA0368">
      <w:pPr>
        <w:tabs>
          <w:tab w:val="left" w:pos="7284"/>
        </w:tabs>
        <w:spacing w:before="120" w:after="120" w:line="259" w:lineRule="auto"/>
        <w:rPr>
          <w:rFonts w:eastAsia="Calibri" w:cstheme="minorHAnsi"/>
          <w:b/>
          <w:bCs/>
          <w:i/>
          <w:color w:val="000000" w:themeColor="text1"/>
          <w:sz w:val="24"/>
          <w:szCs w:val="24"/>
        </w:rPr>
      </w:pPr>
    </w:p>
    <w:p w14:paraId="43BBE1EC" w14:textId="02B3AF02" w:rsidR="00DA0368" w:rsidRPr="0077105F" w:rsidRDefault="00DA0368" w:rsidP="00DA0368">
      <w:pPr>
        <w:tabs>
          <w:tab w:val="left" w:pos="7284"/>
        </w:tabs>
        <w:spacing w:before="120" w:after="120" w:line="259" w:lineRule="auto"/>
        <w:rPr>
          <w:rFonts w:eastAsia="Calibri" w:cstheme="minorHAnsi"/>
          <w:b/>
          <w:bCs/>
          <w:i/>
          <w:color w:val="000000" w:themeColor="text1"/>
          <w:sz w:val="24"/>
          <w:szCs w:val="24"/>
        </w:rPr>
      </w:pPr>
      <w:r w:rsidRPr="00DA0368">
        <w:rPr>
          <w:rFonts w:eastAsia="Calibri" w:cstheme="minorHAnsi"/>
          <w:b/>
          <w:bCs/>
          <w:i/>
          <w:color w:val="000000" w:themeColor="text1"/>
          <w:sz w:val="24"/>
          <w:szCs w:val="24"/>
        </w:rPr>
        <w:t xml:space="preserve">CFPB </w:t>
      </w:r>
      <w:r>
        <w:rPr>
          <w:rFonts w:eastAsia="Calibri" w:cstheme="minorHAnsi"/>
          <w:b/>
          <w:bCs/>
          <w:i/>
          <w:color w:val="000000" w:themeColor="text1"/>
          <w:sz w:val="24"/>
          <w:szCs w:val="24"/>
        </w:rPr>
        <w:t>I</w:t>
      </w:r>
      <w:r w:rsidRPr="00DA0368">
        <w:rPr>
          <w:rFonts w:eastAsia="Calibri" w:cstheme="minorHAnsi"/>
          <w:b/>
          <w:bCs/>
          <w:i/>
          <w:color w:val="000000" w:themeColor="text1"/>
          <w:sz w:val="24"/>
          <w:szCs w:val="24"/>
        </w:rPr>
        <w:t xml:space="preserve">ssues 2020 HMDA Filing Instructions Guide and Supplemental Guide for Quarterly Filers </w:t>
      </w:r>
      <w:r>
        <w:rPr>
          <w:rFonts w:eastAsia="Calibri" w:cstheme="minorHAnsi"/>
          <w:b/>
          <w:bCs/>
          <w:i/>
          <w:color w:val="000000" w:themeColor="text1"/>
          <w:sz w:val="24"/>
          <w:szCs w:val="24"/>
        </w:rPr>
        <w:t>(09.25.2019</w:t>
      </w:r>
      <w:r w:rsidRPr="0077105F">
        <w:rPr>
          <w:rFonts w:eastAsia="Calibri" w:cstheme="minorHAnsi"/>
          <w:b/>
          <w:bCs/>
          <w:i/>
          <w:color w:val="000000" w:themeColor="text1"/>
          <w:sz w:val="24"/>
          <w:szCs w:val="24"/>
        </w:rPr>
        <w:t>)</w:t>
      </w:r>
      <w:r>
        <w:rPr>
          <w:rFonts w:eastAsia="Calibri" w:cstheme="minorHAnsi"/>
          <w:b/>
          <w:bCs/>
          <w:i/>
          <w:color w:val="000000" w:themeColor="text1"/>
          <w:sz w:val="24"/>
          <w:szCs w:val="24"/>
        </w:rPr>
        <w:t xml:space="preserve"> </w:t>
      </w:r>
    </w:p>
    <w:p w14:paraId="73EC2083" w14:textId="77777777" w:rsidR="00DA0368" w:rsidRPr="00DA0368" w:rsidRDefault="00DA0368" w:rsidP="00DA0368">
      <w:pPr>
        <w:spacing w:before="120" w:after="120" w:line="259" w:lineRule="auto"/>
        <w:rPr>
          <w:rFonts w:ascii="Calibri" w:eastAsia="Calibri" w:hAnsi="Calibri" w:cs="Arial"/>
          <w:color w:val="101820"/>
          <w:sz w:val="24"/>
          <w:szCs w:val="24"/>
        </w:rPr>
      </w:pPr>
      <w:r w:rsidRPr="00DA0368">
        <w:rPr>
          <w:rFonts w:ascii="Calibri" w:eastAsia="Calibri" w:hAnsi="Calibri" w:cs="Arial"/>
          <w:color w:val="101820"/>
          <w:sz w:val="24"/>
          <w:szCs w:val="24"/>
        </w:rPr>
        <w:t>The Bureau is pleased to announce that the Filing Instructions Guide (FIG) for data collected in 2020 is now available. The FIG is a technical resource to help financial institutions file HMDA data collected in 2020 and reported in 2021.</w:t>
      </w:r>
    </w:p>
    <w:p w14:paraId="44A8302F" w14:textId="3109E9C1" w:rsidR="00DA0368" w:rsidRPr="00DA0368" w:rsidRDefault="00DA0368" w:rsidP="00DA0368">
      <w:pPr>
        <w:spacing w:before="120" w:after="120" w:line="259" w:lineRule="auto"/>
        <w:rPr>
          <w:rFonts w:ascii="Calibri" w:eastAsia="Calibri" w:hAnsi="Calibri" w:cs="Arial"/>
          <w:color w:val="101820"/>
          <w:sz w:val="24"/>
          <w:szCs w:val="24"/>
        </w:rPr>
      </w:pPr>
      <w:r>
        <w:rPr>
          <w:rFonts w:ascii="Calibri" w:eastAsia="Calibri" w:hAnsi="Calibri" w:cs="Arial"/>
          <w:color w:val="101820"/>
          <w:sz w:val="24"/>
          <w:szCs w:val="24"/>
        </w:rPr>
        <w:t>The CFPB is</w:t>
      </w:r>
      <w:r w:rsidRPr="00DA0368">
        <w:rPr>
          <w:rFonts w:ascii="Calibri" w:eastAsia="Calibri" w:hAnsi="Calibri" w:cs="Arial"/>
          <w:color w:val="101820"/>
          <w:sz w:val="24"/>
          <w:szCs w:val="24"/>
        </w:rPr>
        <w:t xml:space="preserve"> also pleased to announce a new resource, the Supplemental Guide for Quarterly Filers. This guide will help financial institutions required to file HMDA data quarterly beginning in 2020.</w:t>
      </w:r>
    </w:p>
    <w:p w14:paraId="58207CEB" w14:textId="0635102F" w:rsidR="00DA0368" w:rsidRDefault="00DA0368" w:rsidP="00DA0368">
      <w:pPr>
        <w:spacing w:before="120" w:after="120" w:line="259" w:lineRule="auto"/>
        <w:rPr>
          <w:rFonts w:ascii="Calibri" w:eastAsia="Calibri" w:hAnsi="Calibri" w:cs="Arial"/>
          <w:color w:val="101820"/>
          <w:sz w:val="24"/>
          <w:szCs w:val="24"/>
        </w:rPr>
      </w:pPr>
      <w:r w:rsidRPr="00DA0368">
        <w:rPr>
          <w:rFonts w:ascii="Calibri" w:eastAsia="Calibri" w:hAnsi="Calibri" w:cs="Arial"/>
          <w:color w:val="101820"/>
          <w:sz w:val="24"/>
          <w:szCs w:val="24"/>
        </w:rPr>
        <w:t xml:space="preserve">The FIG and the Supplemental Guide for Quarterly Filers can be accessed at </w:t>
      </w:r>
      <w:hyperlink r:id="rId32" w:history="1">
        <w:r w:rsidRPr="007A1EA3">
          <w:rPr>
            <w:rStyle w:val="Hyperlink"/>
            <w:rFonts w:ascii="Calibri" w:eastAsia="Calibri" w:hAnsi="Calibri" w:cs="Arial"/>
            <w:sz w:val="24"/>
            <w:szCs w:val="24"/>
          </w:rPr>
          <w:t>https://ffiec.cfpb.gov</w:t>
        </w:r>
      </w:hyperlink>
      <w:r>
        <w:rPr>
          <w:rFonts w:ascii="Calibri" w:eastAsia="Calibri" w:hAnsi="Calibri" w:cs="Arial"/>
          <w:color w:val="101820"/>
          <w:sz w:val="24"/>
          <w:szCs w:val="24"/>
        </w:rPr>
        <w:t xml:space="preserve"> </w:t>
      </w:r>
      <w:r w:rsidRPr="00DA0368">
        <w:rPr>
          <w:rFonts w:ascii="Calibri" w:eastAsia="Calibri" w:hAnsi="Calibri" w:cs="Arial"/>
          <w:color w:val="101820"/>
          <w:sz w:val="24"/>
          <w:szCs w:val="24"/>
        </w:rPr>
        <w:t>under Help for Filers</w:t>
      </w:r>
      <w:r>
        <w:rPr>
          <w:rFonts w:ascii="Calibri" w:eastAsia="Calibri" w:hAnsi="Calibri" w:cs="Arial"/>
          <w:color w:val="101820"/>
          <w:sz w:val="24"/>
          <w:szCs w:val="24"/>
        </w:rPr>
        <w:t>.</w:t>
      </w:r>
    </w:p>
    <w:p w14:paraId="6277A439" w14:textId="4C80A91E" w:rsidR="00DA0368" w:rsidRPr="004231D5" w:rsidRDefault="00DA0368" w:rsidP="00DA0368">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33" w:history="1">
        <w:r w:rsidRPr="006F0CF8">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19666E3F" w14:textId="77777777" w:rsidR="00DA0368" w:rsidRDefault="00DA0368" w:rsidP="0042460B">
      <w:pPr>
        <w:tabs>
          <w:tab w:val="left" w:pos="7284"/>
        </w:tabs>
        <w:spacing w:before="120" w:after="120" w:line="259" w:lineRule="auto"/>
        <w:rPr>
          <w:rFonts w:eastAsia="Calibri" w:cstheme="minorHAnsi"/>
          <w:b/>
          <w:bCs/>
          <w:i/>
          <w:color w:val="000000" w:themeColor="text1"/>
          <w:sz w:val="24"/>
          <w:szCs w:val="24"/>
        </w:rPr>
      </w:pPr>
    </w:p>
    <w:p w14:paraId="0A45BDF5" w14:textId="4E701B15" w:rsidR="0042460B" w:rsidRPr="0077105F" w:rsidRDefault="006F0CF8" w:rsidP="0042460B">
      <w:pPr>
        <w:tabs>
          <w:tab w:val="left" w:pos="7284"/>
        </w:tabs>
        <w:spacing w:before="120" w:after="120" w:line="259" w:lineRule="auto"/>
        <w:rPr>
          <w:rFonts w:eastAsia="Calibri" w:cstheme="minorHAnsi"/>
          <w:b/>
          <w:bCs/>
          <w:i/>
          <w:color w:val="000000" w:themeColor="text1"/>
          <w:sz w:val="24"/>
          <w:szCs w:val="24"/>
        </w:rPr>
      </w:pPr>
      <w:r w:rsidRPr="006F0CF8">
        <w:rPr>
          <w:rFonts w:eastAsia="Calibri" w:cstheme="minorHAnsi"/>
          <w:b/>
          <w:bCs/>
          <w:i/>
          <w:color w:val="000000" w:themeColor="text1"/>
          <w:sz w:val="24"/>
          <w:szCs w:val="24"/>
        </w:rPr>
        <w:t xml:space="preserve">CFPB Issues FAQs on EGRRCPA Amendments to the SAFE Act </w:t>
      </w:r>
      <w:r w:rsidR="0042460B">
        <w:rPr>
          <w:rFonts w:eastAsia="Calibri" w:cstheme="minorHAnsi"/>
          <w:b/>
          <w:bCs/>
          <w:i/>
          <w:color w:val="000000" w:themeColor="text1"/>
          <w:sz w:val="24"/>
          <w:szCs w:val="24"/>
        </w:rPr>
        <w:t>(</w:t>
      </w:r>
      <w:r>
        <w:rPr>
          <w:rFonts w:eastAsia="Calibri" w:cstheme="minorHAnsi"/>
          <w:b/>
          <w:bCs/>
          <w:i/>
          <w:color w:val="000000" w:themeColor="text1"/>
          <w:sz w:val="24"/>
          <w:szCs w:val="24"/>
        </w:rPr>
        <w:t>09</w:t>
      </w:r>
      <w:r w:rsidR="0042460B">
        <w:rPr>
          <w:rFonts w:eastAsia="Calibri" w:cstheme="minorHAnsi"/>
          <w:b/>
          <w:bCs/>
          <w:i/>
          <w:color w:val="000000" w:themeColor="text1"/>
          <w:sz w:val="24"/>
          <w:szCs w:val="24"/>
        </w:rPr>
        <w:t>.</w:t>
      </w:r>
      <w:r>
        <w:rPr>
          <w:rFonts w:eastAsia="Calibri" w:cstheme="minorHAnsi"/>
          <w:b/>
          <w:bCs/>
          <w:i/>
          <w:color w:val="000000" w:themeColor="text1"/>
          <w:sz w:val="24"/>
          <w:szCs w:val="24"/>
        </w:rPr>
        <w:t>25</w:t>
      </w:r>
      <w:r w:rsidR="0042460B">
        <w:rPr>
          <w:rFonts w:eastAsia="Calibri" w:cstheme="minorHAnsi"/>
          <w:b/>
          <w:bCs/>
          <w:i/>
          <w:color w:val="000000" w:themeColor="text1"/>
          <w:sz w:val="24"/>
          <w:szCs w:val="24"/>
        </w:rPr>
        <w:t>.2019</w:t>
      </w:r>
      <w:r w:rsidR="0042460B" w:rsidRPr="0077105F">
        <w:rPr>
          <w:rFonts w:eastAsia="Calibri" w:cstheme="minorHAnsi"/>
          <w:b/>
          <w:bCs/>
          <w:i/>
          <w:color w:val="000000" w:themeColor="text1"/>
          <w:sz w:val="24"/>
          <w:szCs w:val="24"/>
        </w:rPr>
        <w:t>)</w:t>
      </w:r>
      <w:r w:rsidR="0042460B">
        <w:rPr>
          <w:rFonts w:eastAsia="Calibri" w:cstheme="minorHAnsi"/>
          <w:b/>
          <w:bCs/>
          <w:i/>
          <w:color w:val="000000" w:themeColor="text1"/>
          <w:sz w:val="24"/>
          <w:szCs w:val="24"/>
        </w:rPr>
        <w:t xml:space="preserve"> </w:t>
      </w:r>
      <w:r w:rsidR="00701400">
        <w:rPr>
          <w:rFonts w:eastAsia="Calibri" w:cstheme="minorHAnsi"/>
          <w:b/>
          <w:bCs/>
          <w:i/>
          <w:noProof/>
          <w:color w:val="000000" w:themeColor="text1"/>
          <w:sz w:val="24"/>
          <w:szCs w:val="24"/>
        </w:rPr>
        <w:drawing>
          <wp:inline distT="0" distB="0" distL="0" distR="0" wp14:anchorId="127B4C11" wp14:editId="777B40C1">
            <wp:extent cx="274320" cy="219710"/>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74320" cy="219710"/>
                    </a:xfrm>
                    <a:prstGeom prst="rect">
                      <a:avLst/>
                    </a:prstGeom>
                    <a:noFill/>
                  </pic:spPr>
                </pic:pic>
              </a:graphicData>
            </a:graphic>
          </wp:inline>
        </w:drawing>
      </w:r>
    </w:p>
    <w:p w14:paraId="7F476742" w14:textId="77777777" w:rsidR="006F0CF8" w:rsidRPr="006F0CF8" w:rsidRDefault="006F0CF8" w:rsidP="006F0CF8">
      <w:pPr>
        <w:spacing w:before="120" w:after="120" w:line="259" w:lineRule="auto"/>
        <w:rPr>
          <w:rFonts w:ascii="Calibri" w:eastAsia="Calibri" w:hAnsi="Calibri" w:cs="Arial"/>
          <w:color w:val="101820"/>
          <w:sz w:val="24"/>
          <w:szCs w:val="24"/>
        </w:rPr>
      </w:pPr>
      <w:r w:rsidRPr="006F0CF8">
        <w:rPr>
          <w:rFonts w:ascii="Calibri" w:eastAsia="Calibri" w:hAnsi="Calibri" w:cs="Arial"/>
          <w:color w:val="101820"/>
          <w:sz w:val="24"/>
          <w:szCs w:val="24"/>
        </w:rPr>
        <w:t xml:space="preserve">The questions and answers below pertain to compliance with the Secure and Fair Enforcement for Mortgage Licensing Act of 2008 (SAFE Act) as of November 24, 2019, the effective date of the 2018 amendments to the statute.  </w:t>
      </w:r>
    </w:p>
    <w:p w14:paraId="6B30ECA9" w14:textId="77777777" w:rsidR="006F0CF8" w:rsidRDefault="006F0CF8" w:rsidP="006F0CF8">
      <w:pPr>
        <w:spacing w:before="120" w:after="120" w:line="259" w:lineRule="auto"/>
        <w:rPr>
          <w:rFonts w:ascii="Calibri" w:eastAsia="Calibri" w:hAnsi="Calibri" w:cs="Arial"/>
          <w:color w:val="101820"/>
          <w:sz w:val="24"/>
          <w:szCs w:val="24"/>
        </w:rPr>
      </w:pPr>
      <w:r w:rsidRPr="006F0CF8">
        <w:rPr>
          <w:rFonts w:ascii="Calibri" w:eastAsia="Calibri" w:hAnsi="Calibri" w:cs="Arial"/>
          <w:color w:val="101820"/>
          <w:sz w:val="24"/>
          <w:szCs w:val="24"/>
        </w:rPr>
        <w:t xml:space="preserve">Reviewing these questions and answers is not a substitute for reviewing the SAFE Act or the Bureau’s Regulation G or Regulation H. The statute and Regulations G and H are the definitive sources of information regarding the requirements.  </w:t>
      </w:r>
    </w:p>
    <w:p w14:paraId="60F3F48C" w14:textId="0D338C7E" w:rsidR="0042460B" w:rsidRDefault="0042460B" w:rsidP="006F0CF8">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34" w:history="1">
        <w:r w:rsidRPr="006F0CF8">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09F9769B" w14:textId="447A6FC3" w:rsidR="0042460B" w:rsidRDefault="0042460B" w:rsidP="0042460B">
      <w:pPr>
        <w:spacing w:before="120" w:after="120" w:line="259" w:lineRule="auto"/>
        <w:rPr>
          <w:rFonts w:eastAsia="Calibri" w:cstheme="minorHAnsi"/>
          <w:b/>
          <w:bCs/>
          <w:i/>
          <w:color w:val="002060"/>
          <w:sz w:val="24"/>
          <w:szCs w:val="24"/>
        </w:rPr>
      </w:pPr>
      <w:r w:rsidRPr="0077105F">
        <w:rPr>
          <w:rFonts w:eastAsia="Calibri" w:cstheme="minorHAnsi"/>
          <w:b/>
          <w:bCs/>
          <w:i/>
          <w:color w:val="002060"/>
          <w:sz w:val="24"/>
          <w:szCs w:val="24"/>
        </w:rPr>
        <w:t xml:space="preserve">Comment: </w:t>
      </w:r>
      <w:r w:rsidR="008A4D1F">
        <w:rPr>
          <w:rFonts w:eastAsia="Calibri" w:cstheme="minorHAnsi"/>
          <w:b/>
          <w:bCs/>
          <w:i/>
          <w:color w:val="002060"/>
          <w:sz w:val="24"/>
          <w:szCs w:val="24"/>
        </w:rPr>
        <w:t>Remember that EGRRCPA provided some relief for bankers who</w:t>
      </w:r>
      <w:r w:rsidR="00BF51B5">
        <w:rPr>
          <w:rFonts w:eastAsia="Calibri" w:cstheme="minorHAnsi"/>
          <w:b/>
          <w:bCs/>
          <w:i/>
          <w:color w:val="002060"/>
          <w:sz w:val="24"/>
          <w:szCs w:val="24"/>
        </w:rPr>
        <w:t xml:space="preserve"> move</w:t>
      </w:r>
      <w:r w:rsidR="008A4D1F">
        <w:rPr>
          <w:rFonts w:eastAsia="Calibri" w:cstheme="minorHAnsi"/>
          <w:b/>
          <w:bCs/>
          <w:i/>
          <w:color w:val="002060"/>
          <w:sz w:val="24"/>
          <w:szCs w:val="24"/>
        </w:rPr>
        <w:t xml:space="preserve"> to a non-bank lender/broker</w:t>
      </w:r>
      <w:r>
        <w:rPr>
          <w:rFonts w:eastAsia="Calibri" w:cstheme="minorHAnsi"/>
          <w:b/>
          <w:bCs/>
          <w:i/>
          <w:color w:val="002060"/>
          <w:sz w:val="24"/>
          <w:szCs w:val="24"/>
        </w:rPr>
        <w:t xml:space="preserve">. </w:t>
      </w:r>
    </w:p>
    <w:bookmarkEnd w:id="29"/>
    <w:p w14:paraId="4247C052" w14:textId="77777777" w:rsidR="0042460B" w:rsidRDefault="0042460B" w:rsidP="0042460B">
      <w:pPr>
        <w:tabs>
          <w:tab w:val="left" w:pos="7284"/>
        </w:tabs>
        <w:spacing w:before="120" w:after="120" w:line="259" w:lineRule="auto"/>
        <w:rPr>
          <w:rFonts w:eastAsia="Calibri" w:cstheme="minorHAnsi"/>
          <w:b/>
          <w:bCs/>
          <w:i/>
          <w:color w:val="000000" w:themeColor="text1"/>
          <w:sz w:val="24"/>
          <w:szCs w:val="24"/>
        </w:rPr>
      </w:pPr>
    </w:p>
    <w:p w14:paraId="55A9E37A" w14:textId="0C96095B" w:rsidR="0042460B" w:rsidRPr="0077105F" w:rsidRDefault="0000481C" w:rsidP="0042460B">
      <w:pPr>
        <w:tabs>
          <w:tab w:val="left" w:pos="7284"/>
        </w:tabs>
        <w:spacing w:before="120" w:after="120" w:line="259" w:lineRule="auto"/>
        <w:rPr>
          <w:rFonts w:eastAsia="Calibri" w:cstheme="minorHAnsi"/>
          <w:b/>
          <w:bCs/>
          <w:i/>
          <w:color w:val="000000" w:themeColor="text1"/>
          <w:sz w:val="24"/>
          <w:szCs w:val="24"/>
        </w:rPr>
      </w:pPr>
      <w:r>
        <w:rPr>
          <w:rFonts w:eastAsia="Calibri" w:cstheme="minorHAnsi"/>
          <w:b/>
          <w:bCs/>
          <w:i/>
          <w:color w:val="000000" w:themeColor="text1"/>
          <w:sz w:val="24"/>
          <w:szCs w:val="24"/>
        </w:rPr>
        <w:t>CFPB</w:t>
      </w:r>
      <w:r w:rsidRPr="0000481C">
        <w:rPr>
          <w:rFonts w:eastAsia="Calibri" w:cstheme="minorHAnsi"/>
          <w:b/>
          <w:bCs/>
          <w:i/>
          <w:color w:val="000000" w:themeColor="text1"/>
          <w:sz w:val="24"/>
          <w:szCs w:val="24"/>
        </w:rPr>
        <w:t xml:space="preserve"> </w:t>
      </w:r>
      <w:r>
        <w:rPr>
          <w:rFonts w:eastAsia="Calibri" w:cstheme="minorHAnsi"/>
          <w:b/>
          <w:bCs/>
          <w:i/>
          <w:color w:val="000000" w:themeColor="text1"/>
          <w:sz w:val="24"/>
          <w:szCs w:val="24"/>
        </w:rPr>
        <w:t>a</w:t>
      </w:r>
      <w:r w:rsidRPr="0000481C">
        <w:rPr>
          <w:rFonts w:eastAsia="Calibri" w:cstheme="minorHAnsi"/>
          <w:b/>
          <w:bCs/>
          <w:i/>
          <w:color w:val="000000" w:themeColor="text1"/>
          <w:sz w:val="24"/>
          <w:szCs w:val="24"/>
        </w:rPr>
        <w:t xml:space="preserve">nd </w:t>
      </w:r>
      <w:r>
        <w:rPr>
          <w:rFonts w:eastAsia="Calibri" w:cstheme="minorHAnsi"/>
          <w:b/>
          <w:bCs/>
          <w:i/>
          <w:color w:val="000000" w:themeColor="text1"/>
          <w:sz w:val="24"/>
          <w:szCs w:val="24"/>
        </w:rPr>
        <w:t>FTC</w:t>
      </w:r>
      <w:r w:rsidRPr="0000481C">
        <w:rPr>
          <w:rFonts w:eastAsia="Calibri" w:cstheme="minorHAnsi"/>
          <w:b/>
          <w:bCs/>
          <w:i/>
          <w:color w:val="000000" w:themeColor="text1"/>
          <w:sz w:val="24"/>
          <w:szCs w:val="24"/>
        </w:rPr>
        <w:t xml:space="preserve"> </w:t>
      </w:r>
      <w:r>
        <w:rPr>
          <w:rFonts w:eastAsia="Calibri" w:cstheme="minorHAnsi"/>
          <w:b/>
          <w:bCs/>
          <w:i/>
          <w:color w:val="000000" w:themeColor="text1"/>
          <w:sz w:val="24"/>
          <w:szCs w:val="24"/>
        </w:rPr>
        <w:t>T</w:t>
      </w:r>
      <w:r w:rsidRPr="0000481C">
        <w:rPr>
          <w:rFonts w:eastAsia="Calibri" w:cstheme="minorHAnsi"/>
          <w:b/>
          <w:bCs/>
          <w:i/>
          <w:color w:val="000000" w:themeColor="text1"/>
          <w:sz w:val="24"/>
          <w:szCs w:val="24"/>
        </w:rPr>
        <w:t xml:space="preserve">o Host December Workshop </w:t>
      </w:r>
      <w:r>
        <w:rPr>
          <w:rFonts w:eastAsia="Calibri" w:cstheme="minorHAnsi"/>
          <w:b/>
          <w:bCs/>
          <w:i/>
          <w:color w:val="000000" w:themeColor="text1"/>
          <w:sz w:val="24"/>
          <w:szCs w:val="24"/>
        </w:rPr>
        <w:t>o</w:t>
      </w:r>
      <w:r w:rsidRPr="0000481C">
        <w:rPr>
          <w:rFonts w:eastAsia="Calibri" w:cstheme="minorHAnsi"/>
          <w:b/>
          <w:bCs/>
          <w:i/>
          <w:color w:val="000000" w:themeColor="text1"/>
          <w:sz w:val="24"/>
          <w:szCs w:val="24"/>
        </w:rPr>
        <w:t xml:space="preserve">n Accuracy </w:t>
      </w:r>
      <w:r w:rsidR="006F0CF8">
        <w:rPr>
          <w:rFonts w:eastAsia="Calibri" w:cstheme="minorHAnsi"/>
          <w:b/>
          <w:bCs/>
          <w:i/>
          <w:color w:val="000000" w:themeColor="text1"/>
          <w:sz w:val="24"/>
          <w:szCs w:val="24"/>
        </w:rPr>
        <w:t>in</w:t>
      </w:r>
      <w:r w:rsidRPr="0000481C">
        <w:rPr>
          <w:rFonts w:eastAsia="Calibri" w:cstheme="minorHAnsi"/>
          <w:b/>
          <w:bCs/>
          <w:i/>
          <w:color w:val="000000" w:themeColor="text1"/>
          <w:sz w:val="24"/>
          <w:szCs w:val="24"/>
        </w:rPr>
        <w:t xml:space="preserve"> Consumer Reporting </w:t>
      </w:r>
      <w:r w:rsidR="0042460B">
        <w:rPr>
          <w:rFonts w:eastAsia="Calibri" w:cstheme="minorHAnsi"/>
          <w:b/>
          <w:bCs/>
          <w:i/>
          <w:color w:val="000000" w:themeColor="text1"/>
          <w:sz w:val="24"/>
          <w:szCs w:val="24"/>
        </w:rPr>
        <w:t>(</w:t>
      </w:r>
      <w:r>
        <w:rPr>
          <w:rFonts w:eastAsia="Calibri" w:cstheme="minorHAnsi"/>
          <w:b/>
          <w:bCs/>
          <w:i/>
          <w:color w:val="000000" w:themeColor="text1"/>
          <w:sz w:val="24"/>
          <w:szCs w:val="24"/>
        </w:rPr>
        <w:t>09</w:t>
      </w:r>
      <w:r w:rsidR="0042460B">
        <w:rPr>
          <w:rFonts w:eastAsia="Calibri" w:cstheme="minorHAnsi"/>
          <w:b/>
          <w:bCs/>
          <w:i/>
          <w:color w:val="000000" w:themeColor="text1"/>
          <w:sz w:val="24"/>
          <w:szCs w:val="24"/>
        </w:rPr>
        <w:t>.</w:t>
      </w:r>
      <w:r>
        <w:rPr>
          <w:rFonts w:eastAsia="Calibri" w:cstheme="minorHAnsi"/>
          <w:b/>
          <w:bCs/>
          <w:i/>
          <w:color w:val="000000" w:themeColor="text1"/>
          <w:sz w:val="24"/>
          <w:szCs w:val="24"/>
        </w:rPr>
        <w:t>19</w:t>
      </w:r>
      <w:r w:rsidR="0042460B">
        <w:rPr>
          <w:rFonts w:eastAsia="Calibri" w:cstheme="minorHAnsi"/>
          <w:b/>
          <w:bCs/>
          <w:i/>
          <w:color w:val="000000" w:themeColor="text1"/>
          <w:sz w:val="24"/>
          <w:szCs w:val="24"/>
        </w:rPr>
        <w:t>.2019</w:t>
      </w:r>
      <w:r w:rsidR="0042460B" w:rsidRPr="0077105F">
        <w:rPr>
          <w:rFonts w:eastAsia="Calibri" w:cstheme="minorHAnsi"/>
          <w:b/>
          <w:bCs/>
          <w:i/>
          <w:color w:val="000000" w:themeColor="text1"/>
          <w:sz w:val="24"/>
          <w:szCs w:val="24"/>
        </w:rPr>
        <w:t>)</w:t>
      </w:r>
      <w:r w:rsidR="0042460B">
        <w:rPr>
          <w:rFonts w:eastAsia="Calibri" w:cstheme="minorHAnsi"/>
          <w:b/>
          <w:bCs/>
          <w:i/>
          <w:color w:val="000000" w:themeColor="text1"/>
          <w:sz w:val="24"/>
          <w:szCs w:val="24"/>
        </w:rPr>
        <w:t xml:space="preserve"> </w:t>
      </w:r>
    </w:p>
    <w:p w14:paraId="5F5705A0" w14:textId="77777777" w:rsidR="0000481C" w:rsidRPr="0000481C" w:rsidRDefault="0000481C" w:rsidP="0000481C">
      <w:pPr>
        <w:spacing w:before="120" w:after="120" w:line="259" w:lineRule="auto"/>
        <w:rPr>
          <w:rFonts w:ascii="Calibri" w:eastAsia="Calibri" w:hAnsi="Calibri" w:cs="Arial"/>
          <w:color w:val="101820"/>
          <w:sz w:val="24"/>
          <w:szCs w:val="24"/>
        </w:rPr>
      </w:pPr>
      <w:r w:rsidRPr="0000481C">
        <w:rPr>
          <w:rFonts w:ascii="Calibri" w:eastAsia="Calibri" w:hAnsi="Calibri" w:cs="Arial"/>
          <w:color w:val="101820"/>
          <w:sz w:val="24"/>
          <w:szCs w:val="24"/>
        </w:rPr>
        <w:t xml:space="preserve">The Consumer Financial Protection Bureau (CFPB) and the Federal Trade Commission (FTC) will host a public workshop on December 10, 2019 to discuss issues affecting the accuracy of both traditional credit reports and employment and tenant background screening reports. </w:t>
      </w:r>
    </w:p>
    <w:p w14:paraId="751E8B72" w14:textId="77777777" w:rsidR="0000481C" w:rsidRDefault="0000481C" w:rsidP="0000481C">
      <w:pPr>
        <w:spacing w:before="120" w:after="120" w:line="259" w:lineRule="auto"/>
        <w:rPr>
          <w:rFonts w:ascii="Calibri" w:eastAsia="Calibri" w:hAnsi="Calibri" w:cs="Arial"/>
          <w:color w:val="101820"/>
          <w:sz w:val="24"/>
          <w:szCs w:val="24"/>
        </w:rPr>
      </w:pPr>
      <w:r w:rsidRPr="0000481C">
        <w:rPr>
          <w:rFonts w:ascii="Calibri" w:eastAsia="Calibri" w:hAnsi="Calibri" w:cs="Arial"/>
          <w:color w:val="101820"/>
          <w:sz w:val="24"/>
          <w:szCs w:val="24"/>
        </w:rPr>
        <w:t>Since the FTC released its 2012 study on accuracy in credit reporting, there have been several changes in the landscape that impact the accuracy of consumer reports. In 2012, the CFPB began conducting supervisory reviews over large credit reporting agencies (CRAs), as well as various providers of consumer financial products or services that furnish information about consumers to CRAs. In addition, in 2015, following state investigations regarding various credit reporting issues, the nationwide CRAs agreed to a multi-state settlement that requires stricter standards for matching records, removal of certain public record information, and restrictions on medical debt reporting. Also, new developments, such as the use of machine learning and alternative data in making eligibility determinations, present both opportunities and challenges for the consumer reporting industry.</w:t>
      </w:r>
    </w:p>
    <w:p w14:paraId="22D84F81" w14:textId="2FD87B11" w:rsidR="0042460B" w:rsidRDefault="0042460B" w:rsidP="0000481C">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35" w:history="1">
        <w:r w:rsidRPr="0000481C">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1AA4B730" w14:textId="0C2A6558" w:rsidR="00ED74D8" w:rsidRPr="00ED74D8" w:rsidRDefault="00063F3D" w:rsidP="00ED74D8">
      <w:pPr>
        <w:pStyle w:val="CCTOCHeading"/>
        <w:tabs>
          <w:tab w:val="left" w:pos="8712"/>
        </w:tabs>
        <w:spacing w:line="259" w:lineRule="auto"/>
        <w:rPr>
          <w:rFonts w:asciiTheme="minorHAnsi" w:hAnsiTheme="minorHAnsi" w:cstheme="minorHAnsi"/>
        </w:rPr>
      </w:pPr>
      <w:bookmarkStart w:id="31" w:name="_Toc22799375"/>
      <w:r w:rsidRPr="00436AD8">
        <w:rPr>
          <w:rFonts w:asciiTheme="minorHAnsi" w:hAnsiTheme="minorHAnsi" w:cstheme="minorHAnsi"/>
        </w:rPr>
        <w:t>FDIC actions</w:t>
      </w:r>
      <w:bookmarkEnd w:id="22"/>
      <w:r w:rsidRPr="00436AD8">
        <w:rPr>
          <w:rFonts w:asciiTheme="minorHAnsi" w:hAnsiTheme="minorHAnsi" w:cstheme="minorHAnsi"/>
        </w:rPr>
        <w:t xml:space="preserve"> </w:t>
      </w:r>
      <w:r w:rsidRPr="006E7501">
        <w:rPr>
          <w:rFonts w:asciiTheme="minorHAnsi" w:hAnsiTheme="minorHAnsi" w:cstheme="minorHAnsi"/>
        </w:rPr>
        <w:t>and news</w:t>
      </w:r>
      <w:bookmarkStart w:id="32" w:name="_Toc409519095"/>
      <w:bookmarkStart w:id="33" w:name="_Toc504138795"/>
      <w:bookmarkStart w:id="34" w:name="_Hlk514920391"/>
      <w:bookmarkEnd w:id="23"/>
      <w:bookmarkEnd w:id="24"/>
      <w:bookmarkEnd w:id="25"/>
      <w:bookmarkEnd w:id="26"/>
      <w:bookmarkEnd w:id="27"/>
      <w:bookmarkEnd w:id="28"/>
      <w:bookmarkEnd w:id="30"/>
      <w:bookmarkEnd w:id="31"/>
    </w:p>
    <w:p w14:paraId="6EFF96A0" w14:textId="4D3F5457" w:rsidR="000D1A5D" w:rsidRPr="0077105F" w:rsidRDefault="000D1A5D" w:rsidP="000D1A5D">
      <w:pPr>
        <w:tabs>
          <w:tab w:val="left" w:pos="7284"/>
        </w:tabs>
        <w:spacing w:before="120" w:after="120" w:line="259" w:lineRule="auto"/>
        <w:rPr>
          <w:rFonts w:eastAsia="Calibri" w:cstheme="minorHAnsi"/>
          <w:b/>
          <w:bCs/>
          <w:i/>
          <w:color w:val="000000" w:themeColor="text1"/>
          <w:sz w:val="24"/>
          <w:szCs w:val="24"/>
        </w:rPr>
      </w:pPr>
      <w:r w:rsidRPr="000D1A5D">
        <w:rPr>
          <w:rFonts w:eastAsia="Calibri" w:cstheme="minorHAnsi"/>
          <w:b/>
          <w:bCs/>
          <w:i/>
          <w:color w:val="000000" w:themeColor="text1"/>
          <w:sz w:val="24"/>
          <w:szCs w:val="24"/>
        </w:rPr>
        <w:t xml:space="preserve">Announcing </w:t>
      </w:r>
      <w:proofErr w:type="spellStart"/>
      <w:r w:rsidRPr="000D1A5D">
        <w:rPr>
          <w:rFonts w:eastAsia="Calibri" w:cstheme="minorHAnsi"/>
          <w:b/>
          <w:bCs/>
          <w:i/>
          <w:color w:val="000000" w:themeColor="text1"/>
          <w:sz w:val="24"/>
          <w:szCs w:val="24"/>
        </w:rPr>
        <w:t>FDICconnect’s</w:t>
      </w:r>
      <w:proofErr w:type="spellEnd"/>
      <w:r w:rsidRPr="000D1A5D">
        <w:rPr>
          <w:rFonts w:eastAsia="Calibri" w:cstheme="minorHAnsi"/>
          <w:b/>
          <w:bCs/>
          <w:i/>
          <w:color w:val="000000" w:themeColor="text1"/>
          <w:sz w:val="24"/>
          <w:szCs w:val="24"/>
        </w:rPr>
        <w:t xml:space="preserve"> Enterprise File Exchange (EFX)</w:t>
      </w:r>
      <w:r>
        <w:rPr>
          <w:rFonts w:eastAsia="Calibri" w:cstheme="minorHAnsi"/>
          <w:b/>
          <w:bCs/>
          <w:i/>
          <w:color w:val="000000" w:themeColor="text1"/>
          <w:sz w:val="24"/>
          <w:szCs w:val="24"/>
        </w:rPr>
        <w:t xml:space="preserve"> - </w:t>
      </w:r>
      <w:r w:rsidRPr="000D1A5D">
        <w:rPr>
          <w:rFonts w:eastAsia="Calibri" w:cstheme="minorHAnsi"/>
          <w:b/>
          <w:bCs/>
          <w:i/>
          <w:color w:val="000000" w:themeColor="text1"/>
          <w:sz w:val="24"/>
          <w:szCs w:val="24"/>
        </w:rPr>
        <w:t xml:space="preserve">Replacement for </w:t>
      </w:r>
      <w:proofErr w:type="spellStart"/>
      <w:r w:rsidRPr="000D1A5D">
        <w:rPr>
          <w:rFonts w:eastAsia="Calibri" w:cstheme="minorHAnsi"/>
          <w:b/>
          <w:bCs/>
          <w:i/>
          <w:color w:val="000000" w:themeColor="text1"/>
          <w:sz w:val="24"/>
          <w:szCs w:val="24"/>
        </w:rPr>
        <w:t>FDICconnect’s</w:t>
      </w:r>
      <w:proofErr w:type="spellEnd"/>
      <w:r w:rsidRPr="000D1A5D">
        <w:rPr>
          <w:rFonts w:eastAsia="Calibri" w:cstheme="minorHAnsi"/>
          <w:b/>
          <w:bCs/>
          <w:i/>
          <w:color w:val="000000" w:themeColor="text1"/>
          <w:sz w:val="24"/>
          <w:szCs w:val="24"/>
        </w:rPr>
        <w:t xml:space="preserve"> Examination File Exchange (EFE) </w:t>
      </w:r>
      <w:r>
        <w:rPr>
          <w:rFonts w:eastAsia="Calibri" w:cstheme="minorHAnsi"/>
          <w:b/>
          <w:bCs/>
          <w:i/>
          <w:color w:val="000000" w:themeColor="text1"/>
          <w:sz w:val="24"/>
          <w:szCs w:val="24"/>
        </w:rPr>
        <w:t>(10.21.2019</w:t>
      </w:r>
      <w:r w:rsidRPr="0077105F">
        <w:rPr>
          <w:rFonts w:eastAsia="Calibri" w:cstheme="minorHAnsi"/>
          <w:b/>
          <w:bCs/>
          <w:i/>
          <w:color w:val="000000" w:themeColor="text1"/>
          <w:sz w:val="24"/>
          <w:szCs w:val="24"/>
        </w:rPr>
        <w:t>)</w:t>
      </w:r>
      <w:r>
        <w:rPr>
          <w:rFonts w:eastAsia="Calibri" w:cstheme="minorHAnsi"/>
          <w:b/>
          <w:bCs/>
          <w:i/>
          <w:color w:val="000000" w:themeColor="text1"/>
          <w:sz w:val="24"/>
          <w:szCs w:val="24"/>
        </w:rPr>
        <w:t xml:space="preserve"> </w:t>
      </w:r>
    </w:p>
    <w:p w14:paraId="5BFDC94B" w14:textId="77777777" w:rsidR="000D1A5D" w:rsidRPr="000D1A5D" w:rsidRDefault="000D1A5D" w:rsidP="000D1A5D">
      <w:pPr>
        <w:spacing w:before="120" w:after="120" w:line="259" w:lineRule="auto"/>
        <w:rPr>
          <w:rFonts w:ascii="Calibri" w:eastAsia="Calibri" w:hAnsi="Calibri" w:cs="Arial"/>
          <w:color w:val="101820"/>
          <w:sz w:val="24"/>
          <w:szCs w:val="24"/>
        </w:rPr>
      </w:pPr>
      <w:r w:rsidRPr="000D1A5D">
        <w:rPr>
          <w:rFonts w:ascii="Calibri" w:eastAsia="Calibri" w:hAnsi="Calibri" w:cs="Arial"/>
          <w:color w:val="101820"/>
          <w:sz w:val="24"/>
          <w:szCs w:val="24"/>
        </w:rPr>
        <w:t xml:space="preserve">On September 30, 2019, the Federal Deposit Insurance Corporation (FDIC) launched the new Enterprise File Exchange (EFX) module through </w:t>
      </w:r>
      <w:proofErr w:type="spellStart"/>
      <w:r w:rsidRPr="000D1A5D">
        <w:rPr>
          <w:rFonts w:ascii="Calibri" w:eastAsia="Calibri" w:hAnsi="Calibri" w:cs="Arial"/>
          <w:color w:val="101820"/>
          <w:sz w:val="24"/>
          <w:szCs w:val="24"/>
        </w:rPr>
        <w:t>FDICconnect</w:t>
      </w:r>
      <w:proofErr w:type="spellEnd"/>
      <w:r w:rsidRPr="000D1A5D">
        <w:rPr>
          <w:rFonts w:ascii="Calibri" w:eastAsia="Calibri" w:hAnsi="Calibri" w:cs="Arial"/>
          <w:color w:val="101820"/>
          <w:sz w:val="24"/>
          <w:szCs w:val="24"/>
        </w:rPr>
        <w:t>. EFX is a secure application for FDIC-insured institutions to exchange examination-related documentation with the FDIC and State banking authorities.</w:t>
      </w:r>
    </w:p>
    <w:p w14:paraId="17382EC4" w14:textId="77777777" w:rsidR="000D1A5D" w:rsidRPr="000D1A5D" w:rsidRDefault="000D1A5D" w:rsidP="000D1A5D">
      <w:pPr>
        <w:spacing w:before="120" w:after="120" w:line="259" w:lineRule="auto"/>
        <w:rPr>
          <w:rFonts w:ascii="Calibri" w:eastAsia="Calibri" w:hAnsi="Calibri" w:cs="Arial"/>
          <w:color w:val="101820"/>
          <w:sz w:val="24"/>
          <w:szCs w:val="24"/>
        </w:rPr>
      </w:pPr>
      <w:r w:rsidRPr="000D1A5D">
        <w:rPr>
          <w:rFonts w:ascii="Calibri" w:eastAsia="Calibri" w:hAnsi="Calibri" w:cs="Arial"/>
          <w:color w:val="101820"/>
          <w:sz w:val="24"/>
          <w:szCs w:val="24"/>
        </w:rPr>
        <w:t>Highlights:</w:t>
      </w:r>
    </w:p>
    <w:p w14:paraId="42E22235" w14:textId="77777777" w:rsidR="000D1A5D" w:rsidRPr="000D1A5D" w:rsidRDefault="000D1A5D" w:rsidP="000D1A5D">
      <w:pPr>
        <w:pStyle w:val="ListParagraph"/>
        <w:numPr>
          <w:ilvl w:val="0"/>
          <w:numId w:val="47"/>
        </w:numPr>
        <w:spacing w:before="120" w:after="120" w:line="259" w:lineRule="auto"/>
        <w:rPr>
          <w:rFonts w:ascii="Calibri" w:eastAsia="Calibri" w:hAnsi="Calibri" w:cs="Arial"/>
          <w:color w:val="101820"/>
        </w:rPr>
      </w:pPr>
      <w:r w:rsidRPr="000D1A5D">
        <w:rPr>
          <w:rFonts w:ascii="Calibri" w:eastAsia="Calibri" w:hAnsi="Calibri" w:cs="Arial"/>
          <w:color w:val="101820"/>
        </w:rPr>
        <w:t xml:space="preserve">On September 30, 2019, </w:t>
      </w:r>
      <w:proofErr w:type="spellStart"/>
      <w:r w:rsidRPr="000D1A5D">
        <w:rPr>
          <w:rFonts w:ascii="Calibri" w:eastAsia="Calibri" w:hAnsi="Calibri" w:cs="Arial"/>
          <w:color w:val="101820"/>
        </w:rPr>
        <w:t>FDICconnect</w:t>
      </w:r>
      <w:proofErr w:type="spellEnd"/>
      <w:r w:rsidRPr="000D1A5D">
        <w:rPr>
          <w:rFonts w:ascii="Calibri" w:eastAsia="Calibri" w:hAnsi="Calibri" w:cs="Arial"/>
          <w:color w:val="101820"/>
        </w:rPr>
        <w:t xml:space="preserve">-Enterprise File Exchange (EFX) replaced </w:t>
      </w:r>
      <w:proofErr w:type="spellStart"/>
      <w:r w:rsidRPr="000D1A5D">
        <w:rPr>
          <w:rFonts w:ascii="Calibri" w:eastAsia="Calibri" w:hAnsi="Calibri" w:cs="Arial"/>
          <w:color w:val="101820"/>
        </w:rPr>
        <w:t>FDICconnect</w:t>
      </w:r>
      <w:proofErr w:type="spellEnd"/>
      <w:r w:rsidRPr="000D1A5D">
        <w:rPr>
          <w:rFonts w:ascii="Calibri" w:eastAsia="Calibri" w:hAnsi="Calibri" w:cs="Arial"/>
          <w:color w:val="101820"/>
        </w:rPr>
        <w:t>-Examination File Exchange (EFE) as the primary tool for exchanging examination-related documentation.</w:t>
      </w:r>
    </w:p>
    <w:p w14:paraId="78471368" w14:textId="77777777" w:rsidR="000D1A5D" w:rsidRPr="000D1A5D" w:rsidRDefault="000D1A5D" w:rsidP="000D1A5D">
      <w:pPr>
        <w:pStyle w:val="ListParagraph"/>
        <w:numPr>
          <w:ilvl w:val="0"/>
          <w:numId w:val="47"/>
        </w:numPr>
        <w:spacing w:before="120" w:after="120" w:line="259" w:lineRule="auto"/>
        <w:rPr>
          <w:rFonts w:ascii="Calibri" w:eastAsia="Calibri" w:hAnsi="Calibri" w:cs="Arial"/>
          <w:color w:val="101820"/>
        </w:rPr>
      </w:pPr>
      <w:r w:rsidRPr="000D1A5D">
        <w:rPr>
          <w:rFonts w:ascii="Calibri" w:eastAsia="Calibri" w:hAnsi="Calibri" w:cs="Arial"/>
          <w:color w:val="101820"/>
        </w:rPr>
        <w:t>EFX will be used for all examination planning activities that commence on or after September 30, 2019.</w:t>
      </w:r>
    </w:p>
    <w:p w14:paraId="59C079E9" w14:textId="77777777" w:rsidR="000D1A5D" w:rsidRPr="000D1A5D" w:rsidRDefault="000D1A5D" w:rsidP="000D1A5D">
      <w:pPr>
        <w:pStyle w:val="ListParagraph"/>
        <w:numPr>
          <w:ilvl w:val="0"/>
          <w:numId w:val="47"/>
        </w:numPr>
        <w:spacing w:before="120" w:after="120" w:line="259" w:lineRule="auto"/>
        <w:rPr>
          <w:rFonts w:ascii="Calibri" w:eastAsia="Calibri" w:hAnsi="Calibri" w:cs="Arial"/>
          <w:color w:val="101820"/>
        </w:rPr>
      </w:pPr>
      <w:r w:rsidRPr="000D1A5D">
        <w:rPr>
          <w:rFonts w:ascii="Calibri" w:eastAsia="Calibri" w:hAnsi="Calibri" w:cs="Arial"/>
          <w:color w:val="101820"/>
        </w:rPr>
        <w:t>EFE will remain available for ongoing examinations until approximately April 1, 2020.</w:t>
      </w:r>
    </w:p>
    <w:p w14:paraId="4811C6AC" w14:textId="77777777" w:rsidR="000D1A5D" w:rsidRPr="000D1A5D" w:rsidRDefault="000D1A5D" w:rsidP="000D1A5D">
      <w:pPr>
        <w:pStyle w:val="ListParagraph"/>
        <w:numPr>
          <w:ilvl w:val="0"/>
          <w:numId w:val="47"/>
        </w:numPr>
        <w:spacing w:before="120" w:after="120" w:line="259" w:lineRule="auto"/>
        <w:rPr>
          <w:rFonts w:ascii="Calibri" w:eastAsia="Calibri" w:hAnsi="Calibri" w:cs="Arial"/>
          <w:color w:val="101820"/>
        </w:rPr>
      </w:pPr>
      <w:proofErr w:type="spellStart"/>
      <w:r w:rsidRPr="000D1A5D">
        <w:rPr>
          <w:rFonts w:ascii="Calibri" w:eastAsia="Calibri" w:hAnsi="Calibri" w:cs="Arial"/>
          <w:color w:val="101820"/>
        </w:rPr>
        <w:t>FDICconnect</w:t>
      </w:r>
      <w:proofErr w:type="spellEnd"/>
      <w:r w:rsidRPr="000D1A5D">
        <w:rPr>
          <w:rFonts w:ascii="Calibri" w:eastAsia="Calibri" w:hAnsi="Calibri" w:cs="Arial"/>
          <w:color w:val="101820"/>
        </w:rPr>
        <w:t xml:space="preserve">-EFX features include: </w:t>
      </w:r>
    </w:p>
    <w:p w14:paraId="6CFF84F4" w14:textId="77777777" w:rsidR="000D1A5D" w:rsidRPr="000D1A5D" w:rsidRDefault="000D1A5D" w:rsidP="000D1A5D">
      <w:pPr>
        <w:pStyle w:val="ListParagraph"/>
        <w:numPr>
          <w:ilvl w:val="0"/>
          <w:numId w:val="47"/>
        </w:numPr>
        <w:spacing w:before="120" w:after="120" w:line="259" w:lineRule="auto"/>
        <w:rPr>
          <w:rFonts w:ascii="Calibri" w:eastAsia="Calibri" w:hAnsi="Calibri" w:cs="Arial"/>
          <w:color w:val="101820"/>
        </w:rPr>
      </w:pPr>
      <w:r w:rsidRPr="000D1A5D">
        <w:rPr>
          <w:rFonts w:ascii="Calibri" w:eastAsia="Calibri" w:hAnsi="Calibri" w:cs="Arial"/>
          <w:color w:val="101820"/>
        </w:rPr>
        <w:t>Expanded file transfer capabilities, including the ability to upload multiple files and folders simultaneously</w:t>
      </w:r>
    </w:p>
    <w:p w14:paraId="219C87FE" w14:textId="77777777" w:rsidR="000D1A5D" w:rsidRPr="000D1A5D" w:rsidRDefault="000D1A5D" w:rsidP="000D1A5D">
      <w:pPr>
        <w:pStyle w:val="ListParagraph"/>
        <w:numPr>
          <w:ilvl w:val="0"/>
          <w:numId w:val="47"/>
        </w:numPr>
        <w:spacing w:before="120" w:after="120" w:line="259" w:lineRule="auto"/>
        <w:rPr>
          <w:rFonts w:ascii="Calibri" w:eastAsia="Calibri" w:hAnsi="Calibri" w:cs="Arial"/>
          <w:color w:val="101820"/>
        </w:rPr>
      </w:pPr>
      <w:r w:rsidRPr="000D1A5D">
        <w:rPr>
          <w:rFonts w:ascii="Calibri" w:eastAsia="Calibri" w:hAnsi="Calibri" w:cs="Arial"/>
          <w:color w:val="101820"/>
        </w:rPr>
        <w:t>Modernized drag and drop feature for file/folder uploads</w:t>
      </w:r>
    </w:p>
    <w:p w14:paraId="0D19DECA" w14:textId="77777777" w:rsidR="000D1A5D" w:rsidRPr="000D1A5D" w:rsidRDefault="000D1A5D" w:rsidP="000D1A5D">
      <w:pPr>
        <w:pStyle w:val="ListParagraph"/>
        <w:numPr>
          <w:ilvl w:val="0"/>
          <w:numId w:val="47"/>
        </w:numPr>
        <w:spacing w:before="120" w:after="120" w:line="259" w:lineRule="auto"/>
        <w:rPr>
          <w:rFonts w:ascii="Calibri" w:eastAsia="Calibri" w:hAnsi="Calibri" w:cs="Arial"/>
          <w:color w:val="101820"/>
        </w:rPr>
      </w:pPr>
      <w:r w:rsidRPr="000D1A5D">
        <w:rPr>
          <w:rFonts w:ascii="Calibri" w:eastAsia="Calibri" w:hAnsi="Calibri" w:cs="Arial"/>
          <w:color w:val="101820"/>
        </w:rPr>
        <w:t>Updated file management functionality, including the ability to resume a failed/interrupted file transfer</w:t>
      </w:r>
    </w:p>
    <w:p w14:paraId="348491BF" w14:textId="77777777" w:rsidR="000D1A5D" w:rsidRPr="000D1A5D" w:rsidRDefault="000D1A5D" w:rsidP="000D1A5D">
      <w:pPr>
        <w:pStyle w:val="ListParagraph"/>
        <w:numPr>
          <w:ilvl w:val="0"/>
          <w:numId w:val="47"/>
        </w:numPr>
        <w:spacing w:before="120" w:after="120" w:line="259" w:lineRule="auto"/>
        <w:rPr>
          <w:rFonts w:ascii="Calibri" w:eastAsia="Calibri" w:hAnsi="Calibri" w:cs="Arial"/>
          <w:color w:val="101820"/>
        </w:rPr>
      </w:pPr>
      <w:r w:rsidRPr="000D1A5D">
        <w:rPr>
          <w:rFonts w:ascii="Calibri" w:eastAsia="Calibri" w:hAnsi="Calibri" w:cs="Arial"/>
          <w:color w:val="101820"/>
        </w:rPr>
        <w:t>Enhanced permission and audit capabilities</w:t>
      </w:r>
    </w:p>
    <w:p w14:paraId="5CD82639" w14:textId="77777777" w:rsidR="000D1A5D" w:rsidRPr="000D1A5D" w:rsidRDefault="000D1A5D" w:rsidP="000D1A5D">
      <w:pPr>
        <w:pStyle w:val="ListParagraph"/>
        <w:numPr>
          <w:ilvl w:val="0"/>
          <w:numId w:val="47"/>
        </w:numPr>
        <w:spacing w:before="120" w:after="120" w:line="259" w:lineRule="auto"/>
        <w:rPr>
          <w:rFonts w:ascii="Calibri" w:eastAsia="Calibri" w:hAnsi="Calibri" w:cs="Arial"/>
          <w:color w:val="101820"/>
        </w:rPr>
      </w:pPr>
      <w:r w:rsidRPr="000D1A5D">
        <w:rPr>
          <w:rFonts w:ascii="Calibri" w:eastAsia="Calibri" w:hAnsi="Calibri" w:cs="Arial"/>
          <w:color w:val="101820"/>
        </w:rPr>
        <w:t>Improved file transfer performance and speed</w:t>
      </w:r>
    </w:p>
    <w:p w14:paraId="6B3F50BD" w14:textId="77777777" w:rsidR="000D1A5D" w:rsidRPr="000D1A5D" w:rsidRDefault="000D1A5D" w:rsidP="000D1A5D">
      <w:pPr>
        <w:pStyle w:val="ListParagraph"/>
        <w:numPr>
          <w:ilvl w:val="0"/>
          <w:numId w:val="47"/>
        </w:numPr>
        <w:spacing w:before="120" w:after="120" w:line="259" w:lineRule="auto"/>
        <w:rPr>
          <w:rFonts w:ascii="Calibri" w:eastAsia="Calibri" w:hAnsi="Calibri" w:cs="Arial"/>
          <w:color w:val="101820"/>
        </w:rPr>
      </w:pPr>
      <w:r w:rsidRPr="000D1A5D">
        <w:rPr>
          <w:rFonts w:ascii="Calibri" w:eastAsia="Calibri" w:hAnsi="Calibri" w:cs="Arial"/>
          <w:color w:val="101820"/>
        </w:rPr>
        <w:t>Expanded ability to accept larger files (up to 50 GB)</w:t>
      </w:r>
    </w:p>
    <w:p w14:paraId="386FB9FF" w14:textId="4A09F253" w:rsidR="000D1A5D" w:rsidRDefault="000D1A5D" w:rsidP="000D1A5D">
      <w:pPr>
        <w:pStyle w:val="ListParagraph"/>
        <w:numPr>
          <w:ilvl w:val="0"/>
          <w:numId w:val="47"/>
        </w:numPr>
        <w:spacing w:before="120" w:after="120" w:line="259" w:lineRule="auto"/>
        <w:rPr>
          <w:rFonts w:ascii="Calibri" w:eastAsia="Calibri" w:hAnsi="Calibri" w:cs="Arial"/>
          <w:color w:val="101820"/>
        </w:rPr>
      </w:pPr>
      <w:r w:rsidRPr="000D1A5D">
        <w:rPr>
          <w:rFonts w:ascii="Calibri" w:eastAsia="Calibri" w:hAnsi="Calibri" w:cs="Arial"/>
          <w:color w:val="101820"/>
        </w:rPr>
        <w:t>Modernized user interface</w:t>
      </w:r>
    </w:p>
    <w:p w14:paraId="7AA2375C" w14:textId="08290278" w:rsidR="000D1A5D" w:rsidRPr="000D1A5D" w:rsidRDefault="000D1A5D" w:rsidP="000D1A5D">
      <w:pPr>
        <w:spacing w:before="120" w:after="120" w:line="259" w:lineRule="auto"/>
        <w:rPr>
          <w:rFonts w:ascii="Calibri" w:eastAsia="Calibri" w:hAnsi="Calibri" w:cs="Arial"/>
          <w:color w:val="101820"/>
          <w:sz w:val="24"/>
          <w:szCs w:val="24"/>
        </w:rPr>
      </w:pPr>
      <w:r w:rsidRPr="000D1A5D">
        <w:rPr>
          <w:rFonts w:ascii="Calibri" w:eastAsia="Calibri" w:hAnsi="Calibri" w:cs="Arial"/>
          <w:color w:val="101820"/>
          <w:sz w:val="24"/>
          <w:szCs w:val="24"/>
        </w:rPr>
        <w:t xml:space="preserve">Continuation of </w:t>
      </w:r>
      <w:hyperlink r:id="rId36" w:anchor="continuation" w:history="1">
        <w:r w:rsidRPr="000D1A5D">
          <w:rPr>
            <w:rStyle w:val="Hyperlink"/>
            <w:rFonts w:ascii="Calibri" w:eastAsia="Calibri" w:hAnsi="Calibri" w:cs="Arial"/>
            <w:sz w:val="24"/>
            <w:szCs w:val="24"/>
          </w:rPr>
          <w:t>FIL-63-2019</w:t>
        </w:r>
      </w:hyperlink>
    </w:p>
    <w:p w14:paraId="4EE2D1CE" w14:textId="3E114ACF" w:rsidR="000D1A5D" w:rsidRDefault="000D1A5D" w:rsidP="000D1A5D">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lastRenderedPageBreak/>
        <w:t>Source</w:t>
      </w:r>
      <w:r w:rsidRPr="0077105F">
        <w:rPr>
          <w:rFonts w:eastAsia="Calibri" w:cstheme="minorHAnsi"/>
          <w:bCs/>
          <w:color w:val="000000"/>
          <w:sz w:val="24"/>
          <w:szCs w:val="24"/>
        </w:rPr>
        <w:t xml:space="preserve"> </w:t>
      </w:r>
      <w:hyperlink r:id="rId37" w:history="1">
        <w:r w:rsidRPr="003032CE">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0B203E38" w14:textId="77777777" w:rsidR="000D1A5D" w:rsidRDefault="000D1A5D" w:rsidP="0042460B">
      <w:pPr>
        <w:tabs>
          <w:tab w:val="left" w:pos="7284"/>
        </w:tabs>
        <w:spacing w:before="120" w:after="120" w:line="259" w:lineRule="auto"/>
        <w:rPr>
          <w:rFonts w:eastAsia="Calibri" w:cstheme="minorHAnsi"/>
          <w:b/>
          <w:bCs/>
          <w:i/>
          <w:color w:val="000000" w:themeColor="text1"/>
          <w:sz w:val="24"/>
          <w:szCs w:val="24"/>
        </w:rPr>
      </w:pPr>
    </w:p>
    <w:p w14:paraId="5D2B399A" w14:textId="4E1BFC33" w:rsidR="0042460B" w:rsidRPr="0077105F" w:rsidRDefault="003032CE" w:rsidP="0042460B">
      <w:pPr>
        <w:tabs>
          <w:tab w:val="left" w:pos="7284"/>
        </w:tabs>
        <w:spacing w:before="120" w:after="120" w:line="259" w:lineRule="auto"/>
        <w:rPr>
          <w:rFonts w:eastAsia="Calibri" w:cstheme="minorHAnsi"/>
          <w:b/>
          <w:bCs/>
          <w:i/>
          <w:color w:val="000000" w:themeColor="text1"/>
          <w:sz w:val="24"/>
          <w:szCs w:val="24"/>
        </w:rPr>
      </w:pPr>
      <w:r w:rsidRPr="003032CE">
        <w:rPr>
          <w:rFonts w:eastAsia="Calibri" w:cstheme="minorHAnsi"/>
          <w:b/>
          <w:bCs/>
          <w:i/>
          <w:color w:val="000000" w:themeColor="text1"/>
          <w:sz w:val="24"/>
          <w:szCs w:val="24"/>
        </w:rPr>
        <w:t xml:space="preserve">FDIC Announces Meeting of Advisory Committee on Community Banking </w:t>
      </w:r>
      <w:r w:rsidR="0042460B">
        <w:rPr>
          <w:rFonts w:eastAsia="Calibri" w:cstheme="minorHAnsi"/>
          <w:b/>
          <w:bCs/>
          <w:i/>
          <w:color w:val="000000" w:themeColor="text1"/>
          <w:sz w:val="24"/>
          <w:szCs w:val="24"/>
        </w:rPr>
        <w:t>(</w:t>
      </w:r>
      <w:r>
        <w:rPr>
          <w:rFonts w:eastAsia="Calibri" w:cstheme="minorHAnsi"/>
          <w:b/>
          <w:bCs/>
          <w:i/>
          <w:color w:val="000000" w:themeColor="text1"/>
          <w:sz w:val="24"/>
          <w:szCs w:val="24"/>
        </w:rPr>
        <w:t>10</w:t>
      </w:r>
      <w:r w:rsidR="0042460B">
        <w:rPr>
          <w:rFonts w:eastAsia="Calibri" w:cstheme="minorHAnsi"/>
          <w:b/>
          <w:bCs/>
          <w:i/>
          <w:color w:val="000000" w:themeColor="text1"/>
          <w:sz w:val="24"/>
          <w:szCs w:val="24"/>
        </w:rPr>
        <w:t>.</w:t>
      </w:r>
      <w:r>
        <w:rPr>
          <w:rFonts w:eastAsia="Calibri" w:cstheme="minorHAnsi"/>
          <w:b/>
          <w:bCs/>
          <w:i/>
          <w:color w:val="000000" w:themeColor="text1"/>
          <w:sz w:val="24"/>
          <w:szCs w:val="24"/>
        </w:rPr>
        <w:t>09</w:t>
      </w:r>
      <w:r w:rsidR="0042460B">
        <w:rPr>
          <w:rFonts w:eastAsia="Calibri" w:cstheme="minorHAnsi"/>
          <w:b/>
          <w:bCs/>
          <w:i/>
          <w:color w:val="000000" w:themeColor="text1"/>
          <w:sz w:val="24"/>
          <w:szCs w:val="24"/>
        </w:rPr>
        <w:t>.2019</w:t>
      </w:r>
      <w:r w:rsidR="0042460B" w:rsidRPr="0077105F">
        <w:rPr>
          <w:rFonts w:eastAsia="Calibri" w:cstheme="minorHAnsi"/>
          <w:b/>
          <w:bCs/>
          <w:i/>
          <w:color w:val="000000" w:themeColor="text1"/>
          <w:sz w:val="24"/>
          <w:szCs w:val="24"/>
        </w:rPr>
        <w:t>)</w:t>
      </w:r>
      <w:r w:rsidR="0042460B">
        <w:rPr>
          <w:rFonts w:eastAsia="Calibri" w:cstheme="minorHAnsi"/>
          <w:b/>
          <w:bCs/>
          <w:i/>
          <w:color w:val="000000" w:themeColor="text1"/>
          <w:sz w:val="24"/>
          <w:szCs w:val="24"/>
        </w:rPr>
        <w:t xml:space="preserve"> </w:t>
      </w:r>
    </w:p>
    <w:p w14:paraId="01581505" w14:textId="5196EDD5" w:rsidR="003032CE" w:rsidRPr="003032CE" w:rsidRDefault="003032CE" w:rsidP="003032CE">
      <w:pPr>
        <w:spacing w:before="120" w:after="120" w:line="259" w:lineRule="auto"/>
        <w:rPr>
          <w:rFonts w:ascii="Calibri" w:eastAsia="Calibri" w:hAnsi="Calibri" w:cs="Arial"/>
          <w:color w:val="101820"/>
          <w:sz w:val="24"/>
          <w:szCs w:val="24"/>
        </w:rPr>
      </w:pPr>
      <w:r w:rsidRPr="003032CE">
        <w:rPr>
          <w:rFonts w:ascii="Calibri" w:eastAsia="Calibri" w:hAnsi="Calibri" w:cs="Arial"/>
          <w:color w:val="101820"/>
          <w:sz w:val="24"/>
          <w:szCs w:val="24"/>
        </w:rPr>
        <w:t>The Federal Deposit Insurance Corporation (FDIC) announced that it will hold a meeting of the Advisory Committee on Community Banking on Thursday, October 10. FDIC senior staff will provide an update on various supervisory policy issues and insurance and research matters, brief Committee members on the FDIC Subcommittee on Supervision Modernization, and discuss tools and resources related to Opportunity Zones. In addition, the FDIC Ombudsman will provide a briefing to the Committee. The Committee and FDIC senior staff will also discuss local banking conditions.</w:t>
      </w:r>
    </w:p>
    <w:p w14:paraId="2F1AEE65" w14:textId="77777777" w:rsidR="003032CE" w:rsidRPr="003032CE" w:rsidRDefault="003032CE" w:rsidP="003032CE">
      <w:pPr>
        <w:spacing w:before="120" w:after="120" w:line="259" w:lineRule="auto"/>
        <w:rPr>
          <w:rFonts w:ascii="Calibri" w:eastAsia="Calibri" w:hAnsi="Calibri" w:cs="Arial"/>
          <w:color w:val="101820"/>
          <w:sz w:val="24"/>
          <w:szCs w:val="24"/>
        </w:rPr>
      </w:pPr>
      <w:r w:rsidRPr="003032CE">
        <w:rPr>
          <w:rFonts w:ascii="Calibri" w:eastAsia="Calibri" w:hAnsi="Calibri" w:cs="Arial"/>
          <w:color w:val="101820"/>
          <w:sz w:val="24"/>
          <w:szCs w:val="24"/>
        </w:rPr>
        <w:t>Established in 2009, the Advisory Committee on Community Banking provides input to the FDIC on a range of issues that impact the nation's community banks, including examination policies and procedures, credit and lending practices, deposit insurance assessments, insurance coverage, and regulatory compliance.</w:t>
      </w:r>
    </w:p>
    <w:p w14:paraId="08D86C50" w14:textId="77777777" w:rsidR="003032CE" w:rsidRPr="003032CE" w:rsidRDefault="003032CE" w:rsidP="003032CE">
      <w:pPr>
        <w:spacing w:before="120" w:after="120" w:line="259" w:lineRule="auto"/>
        <w:rPr>
          <w:rFonts w:ascii="Calibri" w:eastAsia="Calibri" w:hAnsi="Calibri" w:cs="Arial"/>
          <w:color w:val="101820"/>
          <w:sz w:val="24"/>
          <w:szCs w:val="24"/>
        </w:rPr>
      </w:pPr>
      <w:r w:rsidRPr="003032CE">
        <w:rPr>
          <w:rFonts w:ascii="Calibri" w:eastAsia="Calibri" w:hAnsi="Calibri" w:cs="Arial"/>
          <w:color w:val="101820"/>
          <w:sz w:val="24"/>
          <w:szCs w:val="24"/>
        </w:rPr>
        <w:t>The meeting is open to the public and will be held from 9 a.m. to 3:15 p.m. EDT in the FDIC's main building located at 550 17th Street, N.W., Washington, D.C. The meeting also will be webcast live.</w:t>
      </w:r>
    </w:p>
    <w:p w14:paraId="465AC70D" w14:textId="14005F62" w:rsidR="003032CE" w:rsidRDefault="003032CE" w:rsidP="003032CE">
      <w:pPr>
        <w:spacing w:before="120" w:after="120" w:line="259" w:lineRule="auto"/>
        <w:rPr>
          <w:rFonts w:ascii="Calibri" w:eastAsia="Calibri" w:hAnsi="Calibri" w:cs="Arial"/>
          <w:color w:val="101820"/>
          <w:sz w:val="24"/>
          <w:szCs w:val="24"/>
        </w:rPr>
      </w:pPr>
      <w:r w:rsidRPr="003032CE">
        <w:rPr>
          <w:rFonts w:ascii="Calibri" w:eastAsia="Calibri" w:hAnsi="Calibri" w:cs="Arial"/>
          <w:color w:val="101820"/>
          <w:sz w:val="24"/>
          <w:szCs w:val="24"/>
        </w:rPr>
        <w:t xml:space="preserve">The agenda for the meeting and a link to the webcast are available at FDIC's </w:t>
      </w:r>
      <w:hyperlink r:id="rId38" w:history="1">
        <w:r w:rsidRPr="003032CE">
          <w:rPr>
            <w:rStyle w:val="Hyperlink"/>
            <w:rFonts w:ascii="Calibri" w:eastAsia="Calibri" w:hAnsi="Calibri" w:cs="Arial"/>
            <w:sz w:val="24"/>
            <w:szCs w:val="24"/>
          </w:rPr>
          <w:t>Advisory Committee on Community Banking</w:t>
        </w:r>
      </w:hyperlink>
      <w:r w:rsidRPr="003032CE">
        <w:rPr>
          <w:rFonts w:ascii="Calibri" w:eastAsia="Calibri" w:hAnsi="Calibri" w:cs="Arial"/>
          <w:color w:val="101820"/>
          <w:sz w:val="24"/>
          <w:szCs w:val="24"/>
        </w:rPr>
        <w:t xml:space="preserve"> website.</w:t>
      </w:r>
    </w:p>
    <w:p w14:paraId="672DBF5D" w14:textId="0B70C6B0" w:rsidR="0042460B" w:rsidRDefault="0042460B" w:rsidP="003032CE">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39" w:history="1">
        <w:r w:rsidRPr="003032CE">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61135310" w14:textId="689B1205" w:rsidR="0042460B" w:rsidRDefault="0042460B" w:rsidP="0042460B">
      <w:pPr>
        <w:spacing w:before="120" w:after="120" w:line="259" w:lineRule="auto"/>
        <w:rPr>
          <w:rFonts w:eastAsia="Calibri" w:cstheme="minorHAnsi"/>
          <w:b/>
          <w:bCs/>
          <w:i/>
          <w:color w:val="002060"/>
          <w:sz w:val="24"/>
          <w:szCs w:val="24"/>
        </w:rPr>
      </w:pPr>
      <w:r w:rsidRPr="0077105F">
        <w:rPr>
          <w:rFonts w:eastAsia="Calibri" w:cstheme="minorHAnsi"/>
          <w:b/>
          <w:bCs/>
          <w:i/>
          <w:color w:val="002060"/>
          <w:sz w:val="24"/>
          <w:szCs w:val="24"/>
        </w:rPr>
        <w:t xml:space="preserve">Comment: </w:t>
      </w:r>
      <w:r w:rsidR="008A4D1F">
        <w:rPr>
          <w:rFonts w:eastAsia="Calibri" w:cstheme="minorHAnsi"/>
          <w:b/>
          <w:bCs/>
          <w:i/>
          <w:color w:val="002060"/>
          <w:sz w:val="24"/>
          <w:szCs w:val="24"/>
        </w:rPr>
        <w:t>See new member announcement below!</w:t>
      </w:r>
      <w:r>
        <w:rPr>
          <w:rFonts w:eastAsia="Calibri" w:cstheme="minorHAnsi"/>
          <w:b/>
          <w:bCs/>
          <w:i/>
          <w:color w:val="002060"/>
          <w:sz w:val="24"/>
          <w:szCs w:val="24"/>
        </w:rPr>
        <w:t xml:space="preserve"> </w:t>
      </w:r>
    </w:p>
    <w:p w14:paraId="3D666574" w14:textId="77777777" w:rsidR="0042460B" w:rsidRDefault="0042460B" w:rsidP="0042460B">
      <w:pPr>
        <w:tabs>
          <w:tab w:val="left" w:pos="7284"/>
        </w:tabs>
        <w:spacing w:before="120" w:after="120" w:line="259" w:lineRule="auto"/>
        <w:rPr>
          <w:rFonts w:eastAsia="Calibri" w:cstheme="minorHAnsi"/>
          <w:b/>
          <w:bCs/>
          <w:i/>
          <w:color w:val="000000" w:themeColor="text1"/>
          <w:sz w:val="24"/>
          <w:szCs w:val="24"/>
        </w:rPr>
      </w:pPr>
    </w:p>
    <w:p w14:paraId="1C4EE869" w14:textId="73FD229B" w:rsidR="0042460B" w:rsidRPr="0077105F" w:rsidRDefault="005C5706" w:rsidP="0042460B">
      <w:pPr>
        <w:tabs>
          <w:tab w:val="left" w:pos="7284"/>
        </w:tabs>
        <w:spacing w:before="120" w:after="120" w:line="259" w:lineRule="auto"/>
        <w:rPr>
          <w:rFonts w:eastAsia="Calibri" w:cstheme="minorHAnsi"/>
          <w:b/>
          <w:bCs/>
          <w:i/>
          <w:color w:val="000000" w:themeColor="text1"/>
          <w:sz w:val="24"/>
          <w:szCs w:val="24"/>
        </w:rPr>
      </w:pPr>
      <w:r w:rsidRPr="005C5706">
        <w:rPr>
          <w:rFonts w:eastAsia="Calibri" w:cstheme="minorHAnsi"/>
          <w:b/>
          <w:bCs/>
          <w:i/>
          <w:color w:val="000000" w:themeColor="text1"/>
          <w:sz w:val="24"/>
          <w:szCs w:val="24"/>
        </w:rPr>
        <w:t xml:space="preserve">FDIC Announces New Members for the Advisory Committee on Community Banking </w:t>
      </w:r>
      <w:r w:rsidR="0042460B">
        <w:rPr>
          <w:rFonts w:eastAsia="Calibri" w:cstheme="minorHAnsi"/>
          <w:b/>
          <w:bCs/>
          <w:i/>
          <w:color w:val="000000" w:themeColor="text1"/>
          <w:sz w:val="24"/>
          <w:szCs w:val="24"/>
        </w:rPr>
        <w:t>(</w:t>
      </w:r>
      <w:r>
        <w:rPr>
          <w:rFonts w:eastAsia="Calibri" w:cstheme="minorHAnsi"/>
          <w:b/>
          <w:bCs/>
          <w:i/>
          <w:color w:val="000000" w:themeColor="text1"/>
          <w:sz w:val="24"/>
          <w:szCs w:val="24"/>
        </w:rPr>
        <w:t>10</w:t>
      </w:r>
      <w:r w:rsidR="0042460B">
        <w:rPr>
          <w:rFonts w:eastAsia="Calibri" w:cstheme="minorHAnsi"/>
          <w:b/>
          <w:bCs/>
          <w:i/>
          <w:color w:val="000000" w:themeColor="text1"/>
          <w:sz w:val="24"/>
          <w:szCs w:val="24"/>
        </w:rPr>
        <w:t>.</w:t>
      </w:r>
      <w:r>
        <w:rPr>
          <w:rFonts w:eastAsia="Calibri" w:cstheme="minorHAnsi"/>
          <w:b/>
          <w:bCs/>
          <w:i/>
          <w:color w:val="000000" w:themeColor="text1"/>
          <w:sz w:val="24"/>
          <w:szCs w:val="24"/>
        </w:rPr>
        <w:t>08</w:t>
      </w:r>
      <w:r w:rsidR="0042460B">
        <w:rPr>
          <w:rFonts w:eastAsia="Calibri" w:cstheme="minorHAnsi"/>
          <w:b/>
          <w:bCs/>
          <w:i/>
          <w:color w:val="000000" w:themeColor="text1"/>
          <w:sz w:val="24"/>
          <w:szCs w:val="24"/>
        </w:rPr>
        <w:t>.2019</w:t>
      </w:r>
      <w:r w:rsidR="0042460B" w:rsidRPr="0077105F">
        <w:rPr>
          <w:rFonts w:eastAsia="Calibri" w:cstheme="minorHAnsi"/>
          <w:b/>
          <w:bCs/>
          <w:i/>
          <w:color w:val="000000" w:themeColor="text1"/>
          <w:sz w:val="24"/>
          <w:szCs w:val="24"/>
        </w:rPr>
        <w:t>)</w:t>
      </w:r>
      <w:r w:rsidR="0042460B">
        <w:rPr>
          <w:rFonts w:eastAsia="Calibri" w:cstheme="minorHAnsi"/>
          <w:b/>
          <w:bCs/>
          <w:i/>
          <w:color w:val="000000" w:themeColor="text1"/>
          <w:sz w:val="24"/>
          <w:szCs w:val="24"/>
        </w:rPr>
        <w:t xml:space="preserve"> </w:t>
      </w:r>
    </w:p>
    <w:p w14:paraId="30CA9C86" w14:textId="2373A3E3" w:rsidR="003032CE" w:rsidRPr="003032CE" w:rsidRDefault="003032CE" w:rsidP="003032CE">
      <w:pPr>
        <w:spacing w:before="120" w:after="120" w:line="259" w:lineRule="auto"/>
        <w:rPr>
          <w:rFonts w:ascii="Calibri" w:eastAsia="Calibri" w:hAnsi="Calibri" w:cs="Arial"/>
          <w:color w:val="101820"/>
          <w:sz w:val="24"/>
          <w:szCs w:val="24"/>
        </w:rPr>
      </w:pPr>
      <w:r w:rsidRPr="003032CE">
        <w:rPr>
          <w:rFonts w:ascii="Calibri" w:eastAsia="Calibri" w:hAnsi="Calibri" w:cs="Arial"/>
          <w:color w:val="101820"/>
          <w:sz w:val="24"/>
          <w:szCs w:val="24"/>
        </w:rPr>
        <w:t>The Federal Deposit Insurance Corporation (FDIC) announced the selection of four new members to its Advisory Committee on Community Banking, which has been providing advice and recommendations to the FDIC on a broad range of community bank policy and regulatory matters since it was established in 2009. The Advisory Committee members represent a cross-section of community bankers from around the country.</w:t>
      </w:r>
    </w:p>
    <w:p w14:paraId="21529600" w14:textId="77777777" w:rsidR="003032CE" w:rsidRPr="003032CE" w:rsidRDefault="003032CE" w:rsidP="003032CE">
      <w:pPr>
        <w:spacing w:before="120" w:after="120" w:line="259" w:lineRule="auto"/>
        <w:rPr>
          <w:rFonts w:ascii="Calibri" w:eastAsia="Calibri" w:hAnsi="Calibri" w:cs="Arial"/>
          <w:color w:val="101820"/>
          <w:sz w:val="24"/>
          <w:szCs w:val="24"/>
        </w:rPr>
      </w:pPr>
      <w:r w:rsidRPr="003032CE">
        <w:rPr>
          <w:rFonts w:ascii="Calibri" w:eastAsia="Calibri" w:hAnsi="Calibri" w:cs="Arial"/>
          <w:color w:val="101820"/>
          <w:sz w:val="24"/>
          <w:szCs w:val="24"/>
        </w:rPr>
        <w:t>"The members of the Advisory Committee serve as the voice of community bankers nationwide," said FDIC Chairman Jelena McWilliams. "We are fortunate to have such talented and highly respected professionals as a resource to provide key information and input to the FDIC on issues facing community banks. I look forward to working with the Advisory Committee members."</w:t>
      </w:r>
    </w:p>
    <w:p w14:paraId="5FB871E9" w14:textId="77777777" w:rsidR="003032CE" w:rsidRPr="003032CE" w:rsidRDefault="003032CE" w:rsidP="003032CE">
      <w:pPr>
        <w:spacing w:before="120" w:after="120" w:line="259" w:lineRule="auto"/>
        <w:rPr>
          <w:rFonts w:ascii="Calibri" w:eastAsia="Calibri" w:hAnsi="Calibri" w:cs="Arial"/>
          <w:color w:val="101820"/>
          <w:sz w:val="24"/>
          <w:szCs w:val="24"/>
        </w:rPr>
      </w:pPr>
      <w:r w:rsidRPr="003032CE">
        <w:rPr>
          <w:rFonts w:ascii="Calibri" w:eastAsia="Calibri" w:hAnsi="Calibri" w:cs="Arial"/>
          <w:color w:val="101820"/>
          <w:sz w:val="24"/>
          <w:szCs w:val="24"/>
        </w:rPr>
        <w:t>The Advisory Committee on Community Banking discusses and provides input to the FDIC on a wide variety of topics, including current examination policies and procedures, credit and lending practices, deposit insurance assessments, insurance coverage and regulatory compliance.</w:t>
      </w:r>
    </w:p>
    <w:p w14:paraId="379273E8" w14:textId="77777777" w:rsidR="003032CE" w:rsidRPr="003032CE" w:rsidRDefault="003032CE" w:rsidP="003032CE">
      <w:pPr>
        <w:spacing w:before="120" w:after="120" w:line="259" w:lineRule="auto"/>
        <w:rPr>
          <w:rFonts w:ascii="Calibri" w:eastAsia="Calibri" w:hAnsi="Calibri" w:cs="Arial"/>
          <w:color w:val="101820"/>
          <w:sz w:val="24"/>
          <w:szCs w:val="24"/>
        </w:rPr>
      </w:pPr>
      <w:r w:rsidRPr="003032CE">
        <w:rPr>
          <w:rFonts w:ascii="Calibri" w:eastAsia="Calibri" w:hAnsi="Calibri" w:cs="Arial"/>
          <w:color w:val="101820"/>
          <w:sz w:val="24"/>
          <w:szCs w:val="24"/>
        </w:rPr>
        <w:t>The new members of the Advisory Committee are:</w:t>
      </w:r>
    </w:p>
    <w:p w14:paraId="183144E8" w14:textId="77777777" w:rsidR="003032CE" w:rsidRPr="003032CE" w:rsidRDefault="003032CE" w:rsidP="003032CE">
      <w:pPr>
        <w:spacing w:before="120" w:after="120" w:line="259" w:lineRule="auto"/>
        <w:rPr>
          <w:rFonts w:ascii="Calibri" w:eastAsia="Calibri" w:hAnsi="Calibri" w:cs="Arial"/>
          <w:color w:val="101820"/>
          <w:sz w:val="24"/>
          <w:szCs w:val="24"/>
        </w:rPr>
      </w:pPr>
      <w:proofErr w:type="spellStart"/>
      <w:r w:rsidRPr="003032CE">
        <w:rPr>
          <w:rFonts w:ascii="Calibri" w:eastAsia="Calibri" w:hAnsi="Calibri" w:cs="Arial"/>
          <w:color w:val="101820"/>
          <w:sz w:val="24"/>
          <w:szCs w:val="24"/>
        </w:rPr>
        <w:t>Shaza</w:t>
      </w:r>
      <w:proofErr w:type="spellEnd"/>
      <w:r w:rsidRPr="003032CE">
        <w:rPr>
          <w:rFonts w:ascii="Calibri" w:eastAsia="Calibri" w:hAnsi="Calibri" w:cs="Arial"/>
          <w:color w:val="101820"/>
          <w:sz w:val="24"/>
          <w:szCs w:val="24"/>
        </w:rPr>
        <w:t xml:space="preserve"> Andersen, CEO, </w:t>
      </w:r>
      <w:proofErr w:type="spellStart"/>
      <w:r w:rsidRPr="003032CE">
        <w:rPr>
          <w:rFonts w:ascii="Calibri" w:eastAsia="Calibri" w:hAnsi="Calibri" w:cs="Arial"/>
          <w:color w:val="101820"/>
          <w:sz w:val="24"/>
          <w:szCs w:val="24"/>
        </w:rPr>
        <w:t>Trustar</w:t>
      </w:r>
      <w:proofErr w:type="spellEnd"/>
      <w:r w:rsidRPr="003032CE">
        <w:rPr>
          <w:rFonts w:ascii="Calibri" w:eastAsia="Calibri" w:hAnsi="Calibri" w:cs="Arial"/>
          <w:color w:val="101820"/>
          <w:sz w:val="24"/>
          <w:szCs w:val="24"/>
        </w:rPr>
        <w:t xml:space="preserve"> Bank, Great Falls, Virginia</w:t>
      </w:r>
    </w:p>
    <w:p w14:paraId="352D2DB5" w14:textId="77777777" w:rsidR="003032CE" w:rsidRPr="003032CE" w:rsidRDefault="003032CE" w:rsidP="003032CE">
      <w:pPr>
        <w:spacing w:before="120" w:after="120" w:line="259" w:lineRule="auto"/>
        <w:rPr>
          <w:rFonts w:ascii="Calibri" w:eastAsia="Calibri" w:hAnsi="Calibri" w:cs="Arial"/>
          <w:color w:val="101820"/>
          <w:sz w:val="24"/>
          <w:szCs w:val="24"/>
        </w:rPr>
      </w:pPr>
      <w:r w:rsidRPr="003032CE">
        <w:rPr>
          <w:rFonts w:ascii="Calibri" w:eastAsia="Calibri" w:hAnsi="Calibri" w:cs="Arial"/>
          <w:color w:val="101820"/>
          <w:sz w:val="24"/>
          <w:szCs w:val="24"/>
        </w:rPr>
        <w:t xml:space="preserve">Sarah </w:t>
      </w:r>
      <w:proofErr w:type="spellStart"/>
      <w:r w:rsidRPr="003032CE">
        <w:rPr>
          <w:rFonts w:ascii="Calibri" w:eastAsia="Calibri" w:hAnsi="Calibri" w:cs="Arial"/>
          <w:color w:val="101820"/>
          <w:sz w:val="24"/>
          <w:szCs w:val="24"/>
        </w:rPr>
        <w:t>Getzlaff</w:t>
      </w:r>
      <w:proofErr w:type="spellEnd"/>
      <w:r w:rsidRPr="003032CE">
        <w:rPr>
          <w:rFonts w:ascii="Calibri" w:eastAsia="Calibri" w:hAnsi="Calibri" w:cs="Arial"/>
          <w:color w:val="101820"/>
          <w:sz w:val="24"/>
          <w:szCs w:val="24"/>
        </w:rPr>
        <w:t>, CEO, Security First Bank of North Dakota, New Salem, North Dakota</w:t>
      </w:r>
    </w:p>
    <w:p w14:paraId="213F3FCA" w14:textId="77777777" w:rsidR="003032CE" w:rsidRPr="003032CE" w:rsidRDefault="003032CE" w:rsidP="003032CE">
      <w:pPr>
        <w:spacing w:before="120" w:after="120" w:line="259" w:lineRule="auto"/>
        <w:rPr>
          <w:rFonts w:ascii="Calibri" w:eastAsia="Calibri" w:hAnsi="Calibri" w:cs="Arial"/>
          <w:b/>
          <w:bCs/>
          <w:color w:val="101820"/>
          <w:sz w:val="24"/>
          <w:szCs w:val="24"/>
        </w:rPr>
      </w:pPr>
      <w:r w:rsidRPr="003032CE">
        <w:rPr>
          <w:rFonts w:ascii="Calibri" w:eastAsia="Calibri" w:hAnsi="Calibri" w:cs="Arial"/>
          <w:b/>
          <w:bCs/>
          <w:color w:val="101820"/>
          <w:sz w:val="24"/>
          <w:szCs w:val="24"/>
        </w:rPr>
        <w:t>Gilbert Narvaez, Jr., President &amp; CEO, Falcon International Bank, Laredo, Texas</w:t>
      </w:r>
    </w:p>
    <w:p w14:paraId="127EE35B" w14:textId="77777777" w:rsidR="003032CE" w:rsidRPr="003032CE" w:rsidRDefault="003032CE" w:rsidP="003032CE">
      <w:pPr>
        <w:spacing w:before="120" w:after="120" w:line="259" w:lineRule="auto"/>
        <w:rPr>
          <w:rFonts w:ascii="Calibri" w:eastAsia="Calibri" w:hAnsi="Calibri" w:cs="Arial"/>
          <w:color w:val="101820"/>
          <w:sz w:val="24"/>
          <w:szCs w:val="24"/>
        </w:rPr>
      </w:pPr>
      <w:r w:rsidRPr="003032CE">
        <w:rPr>
          <w:rFonts w:ascii="Calibri" w:eastAsia="Calibri" w:hAnsi="Calibri" w:cs="Arial"/>
          <w:color w:val="101820"/>
          <w:sz w:val="24"/>
          <w:szCs w:val="24"/>
        </w:rPr>
        <w:t xml:space="preserve">Mark Pitkin, President &amp; CEO, Sugar </w:t>
      </w:r>
      <w:proofErr w:type="gramStart"/>
      <w:r w:rsidRPr="003032CE">
        <w:rPr>
          <w:rFonts w:ascii="Calibri" w:eastAsia="Calibri" w:hAnsi="Calibri" w:cs="Arial"/>
          <w:color w:val="101820"/>
          <w:sz w:val="24"/>
          <w:szCs w:val="24"/>
        </w:rPr>
        <w:t>River Bank</w:t>
      </w:r>
      <w:proofErr w:type="gramEnd"/>
      <w:r w:rsidRPr="003032CE">
        <w:rPr>
          <w:rFonts w:ascii="Calibri" w:eastAsia="Calibri" w:hAnsi="Calibri" w:cs="Arial"/>
          <w:color w:val="101820"/>
          <w:sz w:val="24"/>
          <w:szCs w:val="24"/>
        </w:rPr>
        <w:t>, Newport, New Hampshire</w:t>
      </w:r>
    </w:p>
    <w:p w14:paraId="28E4CBAA" w14:textId="77777777" w:rsidR="003032CE" w:rsidRPr="003032CE" w:rsidRDefault="003032CE" w:rsidP="003032CE">
      <w:pPr>
        <w:spacing w:before="120" w:after="120" w:line="259" w:lineRule="auto"/>
        <w:rPr>
          <w:rFonts w:ascii="Calibri" w:eastAsia="Calibri" w:hAnsi="Calibri" w:cs="Arial"/>
          <w:color w:val="101820"/>
          <w:sz w:val="24"/>
          <w:szCs w:val="24"/>
        </w:rPr>
      </w:pPr>
      <w:r w:rsidRPr="003032CE">
        <w:rPr>
          <w:rFonts w:ascii="Calibri" w:eastAsia="Calibri" w:hAnsi="Calibri" w:cs="Arial"/>
          <w:color w:val="101820"/>
          <w:sz w:val="24"/>
          <w:szCs w:val="24"/>
        </w:rPr>
        <w:t>The new members will join the following individuals already serving on the committee:</w:t>
      </w:r>
    </w:p>
    <w:p w14:paraId="1E8EBB2D" w14:textId="77777777" w:rsidR="003032CE" w:rsidRPr="003032CE" w:rsidRDefault="003032CE" w:rsidP="003032CE">
      <w:pPr>
        <w:spacing w:before="120" w:after="120" w:line="259" w:lineRule="auto"/>
        <w:rPr>
          <w:rFonts w:ascii="Calibri" w:eastAsia="Calibri" w:hAnsi="Calibri" w:cs="Arial"/>
          <w:color w:val="101820"/>
          <w:sz w:val="24"/>
          <w:szCs w:val="24"/>
        </w:rPr>
      </w:pPr>
      <w:r w:rsidRPr="003032CE">
        <w:rPr>
          <w:rFonts w:ascii="Calibri" w:eastAsia="Calibri" w:hAnsi="Calibri" w:cs="Arial"/>
          <w:color w:val="101820"/>
          <w:sz w:val="24"/>
          <w:szCs w:val="24"/>
        </w:rPr>
        <w:lastRenderedPageBreak/>
        <w:t xml:space="preserve">Dick </w:t>
      </w:r>
      <w:proofErr w:type="spellStart"/>
      <w:r w:rsidRPr="003032CE">
        <w:rPr>
          <w:rFonts w:ascii="Calibri" w:eastAsia="Calibri" w:hAnsi="Calibri" w:cs="Arial"/>
          <w:color w:val="101820"/>
          <w:sz w:val="24"/>
          <w:szCs w:val="24"/>
        </w:rPr>
        <w:t>Beshear</w:t>
      </w:r>
      <w:proofErr w:type="spellEnd"/>
      <w:r w:rsidRPr="003032CE">
        <w:rPr>
          <w:rFonts w:ascii="Calibri" w:eastAsia="Calibri" w:hAnsi="Calibri" w:cs="Arial"/>
          <w:color w:val="101820"/>
          <w:sz w:val="24"/>
          <w:szCs w:val="24"/>
        </w:rPr>
        <w:t>, Chairman, President &amp; CEO, First Security Bank and Trust Company, Oklahoma City, Oklahoma</w:t>
      </w:r>
    </w:p>
    <w:p w14:paraId="64AF7234" w14:textId="77777777" w:rsidR="003032CE" w:rsidRPr="003032CE" w:rsidRDefault="003032CE" w:rsidP="003032CE">
      <w:pPr>
        <w:spacing w:before="120" w:after="120" w:line="259" w:lineRule="auto"/>
        <w:rPr>
          <w:rFonts w:ascii="Calibri" w:eastAsia="Calibri" w:hAnsi="Calibri" w:cs="Arial"/>
          <w:color w:val="101820"/>
          <w:sz w:val="24"/>
          <w:szCs w:val="24"/>
        </w:rPr>
      </w:pPr>
      <w:r w:rsidRPr="003032CE">
        <w:rPr>
          <w:rFonts w:ascii="Calibri" w:eastAsia="Calibri" w:hAnsi="Calibri" w:cs="Arial"/>
          <w:color w:val="101820"/>
          <w:sz w:val="24"/>
          <w:szCs w:val="24"/>
        </w:rPr>
        <w:t xml:space="preserve">Fred </w:t>
      </w:r>
      <w:proofErr w:type="spellStart"/>
      <w:r w:rsidRPr="003032CE">
        <w:rPr>
          <w:rFonts w:ascii="Calibri" w:eastAsia="Calibri" w:hAnsi="Calibri" w:cs="Arial"/>
          <w:color w:val="101820"/>
          <w:sz w:val="24"/>
          <w:szCs w:val="24"/>
        </w:rPr>
        <w:t>DeBiasi</w:t>
      </w:r>
      <w:proofErr w:type="spellEnd"/>
      <w:r w:rsidRPr="003032CE">
        <w:rPr>
          <w:rFonts w:ascii="Calibri" w:eastAsia="Calibri" w:hAnsi="Calibri" w:cs="Arial"/>
          <w:color w:val="101820"/>
          <w:sz w:val="24"/>
          <w:szCs w:val="24"/>
        </w:rPr>
        <w:t>, President &amp; CEO, American Savings Bank, Middletown, Ohio</w:t>
      </w:r>
    </w:p>
    <w:p w14:paraId="39BD3252" w14:textId="77777777" w:rsidR="003032CE" w:rsidRPr="003032CE" w:rsidRDefault="003032CE" w:rsidP="003032CE">
      <w:pPr>
        <w:spacing w:before="120" w:after="120" w:line="259" w:lineRule="auto"/>
        <w:rPr>
          <w:rFonts w:ascii="Calibri" w:eastAsia="Calibri" w:hAnsi="Calibri" w:cs="Arial"/>
          <w:color w:val="101820"/>
          <w:sz w:val="24"/>
          <w:szCs w:val="24"/>
        </w:rPr>
      </w:pPr>
      <w:r w:rsidRPr="003032CE">
        <w:rPr>
          <w:rFonts w:ascii="Calibri" w:eastAsia="Calibri" w:hAnsi="Calibri" w:cs="Arial"/>
          <w:color w:val="101820"/>
          <w:sz w:val="24"/>
          <w:szCs w:val="24"/>
        </w:rPr>
        <w:t>Christopher Donnelly, President &amp; CEO, Bank of the Prairie, Olathe, Kansas</w:t>
      </w:r>
    </w:p>
    <w:p w14:paraId="2A40502D" w14:textId="77777777" w:rsidR="003032CE" w:rsidRPr="003032CE" w:rsidRDefault="003032CE" w:rsidP="003032CE">
      <w:pPr>
        <w:spacing w:before="120" w:after="120" w:line="259" w:lineRule="auto"/>
        <w:rPr>
          <w:rFonts w:ascii="Calibri" w:eastAsia="Calibri" w:hAnsi="Calibri" w:cs="Arial"/>
          <w:color w:val="101820"/>
          <w:sz w:val="24"/>
          <w:szCs w:val="24"/>
        </w:rPr>
      </w:pPr>
      <w:r w:rsidRPr="003032CE">
        <w:rPr>
          <w:rFonts w:ascii="Calibri" w:eastAsia="Calibri" w:hAnsi="Calibri" w:cs="Arial"/>
          <w:color w:val="101820"/>
          <w:sz w:val="24"/>
          <w:szCs w:val="24"/>
        </w:rPr>
        <w:t>James J. Edwards, Jr., CEO, United Bank, Zebulon, Georgia</w:t>
      </w:r>
    </w:p>
    <w:p w14:paraId="0050A6C4" w14:textId="77777777" w:rsidR="003032CE" w:rsidRPr="003032CE" w:rsidRDefault="003032CE" w:rsidP="003032CE">
      <w:pPr>
        <w:spacing w:before="120" w:after="120" w:line="259" w:lineRule="auto"/>
        <w:rPr>
          <w:rFonts w:ascii="Calibri" w:eastAsia="Calibri" w:hAnsi="Calibri" w:cs="Arial"/>
          <w:color w:val="101820"/>
          <w:sz w:val="24"/>
          <w:szCs w:val="24"/>
        </w:rPr>
      </w:pPr>
      <w:r w:rsidRPr="003032CE">
        <w:rPr>
          <w:rFonts w:ascii="Calibri" w:eastAsia="Calibri" w:hAnsi="Calibri" w:cs="Arial"/>
          <w:color w:val="101820"/>
          <w:sz w:val="24"/>
          <w:szCs w:val="24"/>
        </w:rPr>
        <w:t>Keith Epstein, EVP &amp; CEO, Roxboro Savings Bank, Roxboro, North Carolina</w:t>
      </w:r>
    </w:p>
    <w:p w14:paraId="311A6D91" w14:textId="77777777" w:rsidR="003032CE" w:rsidRPr="003032CE" w:rsidRDefault="003032CE" w:rsidP="003032CE">
      <w:pPr>
        <w:spacing w:before="120" w:after="120" w:line="259" w:lineRule="auto"/>
        <w:rPr>
          <w:rFonts w:ascii="Calibri" w:eastAsia="Calibri" w:hAnsi="Calibri" w:cs="Arial"/>
          <w:color w:val="101820"/>
          <w:sz w:val="24"/>
          <w:szCs w:val="24"/>
        </w:rPr>
      </w:pPr>
      <w:r w:rsidRPr="003032CE">
        <w:rPr>
          <w:rFonts w:ascii="Calibri" w:eastAsia="Calibri" w:hAnsi="Calibri" w:cs="Arial"/>
          <w:color w:val="101820"/>
          <w:sz w:val="24"/>
          <w:szCs w:val="24"/>
        </w:rPr>
        <w:t>Kenneth Kelly, Chairman &amp; CEO, First Independence Bank, Detroit, Michigan</w:t>
      </w:r>
    </w:p>
    <w:p w14:paraId="5DEA2EA4" w14:textId="77777777" w:rsidR="003032CE" w:rsidRPr="003032CE" w:rsidRDefault="003032CE" w:rsidP="003032CE">
      <w:pPr>
        <w:spacing w:before="120" w:after="120" w:line="259" w:lineRule="auto"/>
        <w:rPr>
          <w:rFonts w:ascii="Calibri" w:eastAsia="Calibri" w:hAnsi="Calibri" w:cs="Arial"/>
          <w:color w:val="101820"/>
          <w:sz w:val="24"/>
          <w:szCs w:val="24"/>
        </w:rPr>
      </w:pPr>
      <w:r w:rsidRPr="003032CE">
        <w:rPr>
          <w:rFonts w:ascii="Calibri" w:eastAsia="Calibri" w:hAnsi="Calibri" w:cs="Arial"/>
          <w:color w:val="101820"/>
          <w:sz w:val="24"/>
          <w:szCs w:val="24"/>
        </w:rPr>
        <w:t>Bruce Kimbell, President &amp; CEO, First Community Bank of the Heartland, Clinton, Kentucky</w:t>
      </w:r>
    </w:p>
    <w:p w14:paraId="7C0C1F11" w14:textId="77777777" w:rsidR="003032CE" w:rsidRPr="003032CE" w:rsidRDefault="003032CE" w:rsidP="003032CE">
      <w:pPr>
        <w:spacing w:before="120" w:after="120" w:line="259" w:lineRule="auto"/>
        <w:rPr>
          <w:rFonts w:ascii="Calibri" w:eastAsia="Calibri" w:hAnsi="Calibri" w:cs="Arial"/>
          <w:color w:val="101820"/>
          <w:sz w:val="24"/>
          <w:szCs w:val="24"/>
        </w:rPr>
      </w:pPr>
      <w:r w:rsidRPr="003032CE">
        <w:rPr>
          <w:rFonts w:ascii="Calibri" w:eastAsia="Calibri" w:hAnsi="Calibri" w:cs="Arial"/>
          <w:color w:val="101820"/>
          <w:sz w:val="24"/>
          <w:szCs w:val="24"/>
        </w:rPr>
        <w:t>Thomas Leavitt, President &amp; CEO, Northfield Savings Bank, Northfield, Vermont</w:t>
      </w:r>
    </w:p>
    <w:p w14:paraId="7810D90A" w14:textId="77777777" w:rsidR="003032CE" w:rsidRPr="003032CE" w:rsidRDefault="003032CE" w:rsidP="003032CE">
      <w:pPr>
        <w:spacing w:before="120" w:after="120" w:line="259" w:lineRule="auto"/>
        <w:rPr>
          <w:rFonts w:ascii="Calibri" w:eastAsia="Calibri" w:hAnsi="Calibri" w:cs="Arial"/>
          <w:color w:val="101820"/>
          <w:sz w:val="24"/>
          <w:szCs w:val="24"/>
        </w:rPr>
      </w:pPr>
      <w:r w:rsidRPr="003032CE">
        <w:rPr>
          <w:rFonts w:ascii="Calibri" w:eastAsia="Calibri" w:hAnsi="Calibri" w:cs="Arial"/>
          <w:color w:val="101820"/>
          <w:sz w:val="24"/>
          <w:szCs w:val="24"/>
        </w:rPr>
        <w:t xml:space="preserve">Lori </w:t>
      </w:r>
      <w:proofErr w:type="spellStart"/>
      <w:r w:rsidRPr="003032CE">
        <w:rPr>
          <w:rFonts w:ascii="Calibri" w:eastAsia="Calibri" w:hAnsi="Calibri" w:cs="Arial"/>
          <w:color w:val="101820"/>
          <w:sz w:val="24"/>
          <w:szCs w:val="24"/>
        </w:rPr>
        <w:t>Maley</w:t>
      </w:r>
      <w:proofErr w:type="spellEnd"/>
      <w:r w:rsidRPr="003032CE">
        <w:rPr>
          <w:rFonts w:ascii="Calibri" w:eastAsia="Calibri" w:hAnsi="Calibri" w:cs="Arial"/>
          <w:color w:val="101820"/>
          <w:sz w:val="24"/>
          <w:szCs w:val="24"/>
        </w:rPr>
        <w:t>, President &amp; CEO, Bank of Bird-in-Hand, Bird-in-Hand, Pennsylvania</w:t>
      </w:r>
    </w:p>
    <w:p w14:paraId="39635D3A" w14:textId="77777777" w:rsidR="003032CE" w:rsidRPr="003032CE" w:rsidRDefault="003032CE" w:rsidP="003032CE">
      <w:pPr>
        <w:spacing w:before="120" w:after="120" w:line="259" w:lineRule="auto"/>
        <w:rPr>
          <w:rFonts w:ascii="Calibri" w:eastAsia="Calibri" w:hAnsi="Calibri" w:cs="Arial"/>
          <w:color w:val="101820"/>
          <w:sz w:val="24"/>
          <w:szCs w:val="24"/>
        </w:rPr>
      </w:pPr>
      <w:r w:rsidRPr="003032CE">
        <w:rPr>
          <w:rFonts w:ascii="Calibri" w:eastAsia="Calibri" w:hAnsi="Calibri" w:cs="Arial"/>
          <w:color w:val="101820"/>
          <w:sz w:val="24"/>
          <w:szCs w:val="24"/>
        </w:rPr>
        <w:t xml:space="preserve">Alan </w:t>
      </w:r>
      <w:proofErr w:type="spellStart"/>
      <w:r w:rsidRPr="003032CE">
        <w:rPr>
          <w:rFonts w:ascii="Calibri" w:eastAsia="Calibri" w:hAnsi="Calibri" w:cs="Arial"/>
          <w:color w:val="101820"/>
          <w:sz w:val="24"/>
          <w:szCs w:val="24"/>
        </w:rPr>
        <w:t>Shettlesworth</w:t>
      </w:r>
      <w:proofErr w:type="spellEnd"/>
      <w:r w:rsidRPr="003032CE">
        <w:rPr>
          <w:rFonts w:ascii="Calibri" w:eastAsia="Calibri" w:hAnsi="Calibri" w:cs="Arial"/>
          <w:color w:val="101820"/>
          <w:sz w:val="24"/>
          <w:szCs w:val="24"/>
        </w:rPr>
        <w:t>, President &amp; COO, Main Bank, Albuquerque, New Mexico</w:t>
      </w:r>
    </w:p>
    <w:p w14:paraId="33FC5901" w14:textId="77777777" w:rsidR="003032CE" w:rsidRPr="003032CE" w:rsidRDefault="003032CE" w:rsidP="003032CE">
      <w:pPr>
        <w:spacing w:before="120" w:after="120" w:line="259" w:lineRule="auto"/>
        <w:rPr>
          <w:rFonts w:ascii="Calibri" w:eastAsia="Calibri" w:hAnsi="Calibri" w:cs="Arial"/>
          <w:color w:val="101820"/>
          <w:sz w:val="24"/>
          <w:szCs w:val="24"/>
        </w:rPr>
      </w:pPr>
      <w:r w:rsidRPr="003032CE">
        <w:rPr>
          <w:rFonts w:ascii="Calibri" w:eastAsia="Calibri" w:hAnsi="Calibri" w:cs="Arial"/>
          <w:color w:val="101820"/>
          <w:sz w:val="24"/>
          <w:szCs w:val="24"/>
        </w:rPr>
        <w:t xml:space="preserve">Cathy </w:t>
      </w:r>
      <w:proofErr w:type="spellStart"/>
      <w:r w:rsidRPr="003032CE">
        <w:rPr>
          <w:rFonts w:ascii="Calibri" w:eastAsia="Calibri" w:hAnsi="Calibri" w:cs="Arial"/>
          <w:color w:val="101820"/>
          <w:sz w:val="24"/>
          <w:szCs w:val="24"/>
        </w:rPr>
        <w:t>Stuchlik</w:t>
      </w:r>
      <w:proofErr w:type="spellEnd"/>
      <w:r w:rsidRPr="003032CE">
        <w:rPr>
          <w:rFonts w:ascii="Calibri" w:eastAsia="Calibri" w:hAnsi="Calibri" w:cs="Arial"/>
          <w:color w:val="101820"/>
          <w:sz w:val="24"/>
          <w:szCs w:val="24"/>
        </w:rPr>
        <w:t>, Chairwoman &amp; President, Clackamas County Bank, Sandy, Oregon</w:t>
      </w:r>
    </w:p>
    <w:p w14:paraId="72EF5A85" w14:textId="77777777" w:rsidR="003032CE" w:rsidRPr="003032CE" w:rsidRDefault="003032CE" w:rsidP="003032CE">
      <w:pPr>
        <w:spacing w:before="120" w:after="120" w:line="259" w:lineRule="auto"/>
        <w:rPr>
          <w:rFonts w:ascii="Calibri" w:eastAsia="Calibri" w:hAnsi="Calibri" w:cs="Arial"/>
          <w:color w:val="101820"/>
          <w:sz w:val="24"/>
          <w:szCs w:val="24"/>
        </w:rPr>
      </w:pPr>
      <w:r w:rsidRPr="003032CE">
        <w:rPr>
          <w:rFonts w:ascii="Calibri" w:eastAsia="Calibri" w:hAnsi="Calibri" w:cs="Arial"/>
          <w:color w:val="101820"/>
          <w:sz w:val="24"/>
          <w:szCs w:val="24"/>
        </w:rPr>
        <w:t>Louise Walker, President &amp; CEO, First Northern Bank, Dixon, California</w:t>
      </w:r>
    </w:p>
    <w:p w14:paraId="63709461" w14:textId="77777777" w:rsidR="003032CE" w:rsidRPr="003032CE" w:rsidRDefault="003032CE" w:rsidP="003032CE">
      <w:pPr>
        <w:spacing w:before="120" w:after="120" w:line="259" w:lineRule="auto"/>
        <w:rPr>
          <w:rFonts w:ascii="Calibri" w:eastAsia="Calibri" w:hAnsi="Calibri" w:cs="Arial"/>
          <w:color w:val="101820"/>
          <w:sz w:val="24"/>
          <w:szCs w:val="24"/>
        </w:rPr>
      </w:pPr>
      <w:r w:rsidRPr="003032CE">
        <w:rPr>
          <w:rFonts w:ascii="Calibri" w:eastAsia="Calibri" w:hAnsi="Calibri" w:cs="Arial"/>
          <w:color w:val="101820"/>
          <w:sz w:val="24"/>
          <w:szCs w:val="24"/>
        </w:rPr>
        <w:t>Len E. Williams, President &amp; CEO, People's Utah Bancorp &amp; CEO, People's Intermountain Bank, American Fork, Utah</w:t>
      </w:r>
    </w:p>
    <w:p w14:paraId="3C80E4B5" w14:textId="1171089F" w:rsidR="003032CE" w:rsidRDefault="003032CE" w:rsidP="003032CE">
      <w:pPr>
        <w:spacing w:before="120" w:after="120" w:line="259" w:lineRule="auto"/>
        <w:rPr>
          <w:rFonts w:ascii="Calibri" w:eastAsia="Calibri" w:hAnsi="Calibri" w:cs="Arial"/>
          <w:color w:val="101820"/>
          <w:sz w:val="24"/>
          <w:szCs w:val="24"/>
        </w:rPr>
      </w:pPr>
      <w:r w:rsidRPr="003032CE">
        <w:rPr>
          <w:rFonts w:ascii="Calibri" w:eastAsia="Calibri" w:hAnsi="Calibri" w:cs="Arial"/>
          <w:color w:val="101820"/>
          <w:sz w:val="24"/>
          <w:szCs w:val="24"/>
        </w:rPr>
        <w:t xml:space="preserve">For more information, please visit the Advisory Committee on Community Banking webpage at </w:t>
      </w:r>
      <w:hyperlink r:id="rId40" w:history="1">
        <w:r w:rsidRPr="005F1E79">
          <w:rPr>
            <w:rStyle w:val="Hyperlink"/>
            <w:rFonts w:ascii="Calibri" w:eastAsia="Calibri" w:hAnsi="Calibri" w:cs="Arial"/>
            <w:sz w:val="24"/>
            <w:szCs w:val="24"/>
          </w:rPr>
          <w:t>http://www.fdic.gov/communitybanking/</w:t>
        </w:r>
      </w:hyperlink>
      <w:r w:rsidRPr="003032CE">
        <w:rPr>
          <w:rFonts w:ascii="Calibri" w:eastAsia="Calibri" w:hAnsi="Calibri" w:cs="Arial"/>
          <w:color w:val="101820"/>
          <w:sz w:val="24"/>
          <w:szCs w:val="24"/>
        </w:rPr>
        <w:t>.</w:t>
      </w:r>
    </w:p>
    <w:p w14:paraId="443FB19E" w14:textId="2375B7A6" w:rsidR="0042460B" w:rsidRDefault="0042460B" w:rsidP="003032CE">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41" w:history="1">
        <w:r w:rsidRPr="003032CE">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5A8DD822" w14:textId="6B31F227" w:rsidR="0042460B" w:rsidRDefault="0042460B" w:rsidP="0042460B">
      <w:pPr>
        <w:spacing w:before="120" w:after="120" w:line="259" w:lineRule="auto"/>
        <w:rPr>
          <w:rFonts w:eastAsia="Calibri" w:cstheme="minorHAnsi"/>
          <w:b/>
          <w:bCs/>
          <w:i/>
          <w:color w:val="002060"/>
          <w:sz w:val="24"/>
          <w:szCs w:val="24"/>
        </w:rPr>
      </w:pPr>
      <w:r w:rsidRPr="0077105F">
        <w:rPr>
          <w:rFonts w:eastAsia="Calibri" w:cstheme="minorHAnsi"/>
          <w:b/>
          <w:bCs/>
          <w:i/>
          <w:color w:val="002060"/>
          <w:sz w:val="24"/>
          <w:szCs w:val="24"/>
        </w:rPr>
        <w:t xml:space="preserve">Comment: </w:t>
      </w:r>
      <w:r w:rsidR="004231D5">
        <w:rPr>
          <w:rFonts w:eastAsia="Calibri" w:cstheme="minorHAnsi"/>
          <w:b/>
          <w:bCs/>
          <w:i/>
          <w:color w:val="002060"/>
          <w:sz w:val="24"/>
          <w:szCs w:val="24"/>
        </w:rPr>
        <w:t>Congratulations to Gilbert Narvaez, Jr. of Falcon International Bank in Laredo</w:t>
      </w:r>
      <w:r>
        <w:rPr>
          <w:rFonts w:eastAsia="Calibri" w:cstheme="minorHAnsi"/>
          <w:b/>
          <w:bCs/>
          <w:i/>
          <w:color w:val="002060"/>
          <w:sz w:val="24"/>
          <w:szCs w:val="24"/>
        </w:rPr>
        <w:t xml:space="preserve">. </w:t>
      </w:r>
    </w:p>
    <w:p w14:paraId="0EA9731C" w14:textId="77777777" w:rsidR="0042460B" w:rsidRDefault="0042460B" w:rsidP="0042460B">
      <w:pPr>
        <w:tabs>
          <w:tab w:val="left" w:pos="7284"/>
        </w:tabs>
        <w:spacing w:before="120" w:after="120" w:line="259" w:lineRule="auto"/>
        <w:rPr>
          <w:rFonts w:eastAsia="Calibri" w:cstheme="minorHAnsi"/>
          <w:b/>
          <w:bCs/>
          <w:i/>
          <w:color w:val="000000" w:themeColor="text1"/>
          <w:sz w:val="24"/>
          <w:szCs w:val="24"/>
        </w:rPr>
      </w:pPr>
    </w:p>
    <w:p w14:paraId="15B1BC16" w14:textId="16209FB4" w:rsidR="0042460B" w:rsidRPr="0077105F" w:rsidRDefault="00367E0D" w:rsidP="0042460B">
      <w:pPr>
        <w:tabs>
          <w:tab w:val="left" w:pos="7284"/>
        </w:tabs>
        <w:spacing w:before="120" w:after="120" w:line="259" w:lineRule="auto"/>
        <w:rPr>
          <w:rFonts w:eastAsia="Calibri" w:cstheme="minorHAnsi"/>
          <w:b/>
          <w:bCs/>
          <w:i/>
          <w:color w:val="000000" w:themeColor="text1"/>
          <w:sz w:val="24"/>
          <w:szCs w:val="24"/>
        </w:rPr>
      </w:pPr>
      <w:r w:rsidRPr="00367E0D">
        <w:rPr>
          <w:rFonts w:eastAsia="Calibri" w:cstheme="minorHAnsi"/>
          <w:b/>
          <w:bCs/>
          <w:i/>
          <w:color w:val="000000" w:themeColor="text1"/>
          <w:sz w:val="24"/>
          <w:szCs w:val="24"/>
        </w:rPr>
        <w:t xml:space="preserve">Listening Sessions on Supervisory Appeals and Dispute Resolution Processes </w:t>
      </w:r>
      <w:r w:rsidR="0042460B">
        <w:rPr>
          <w:rFonts w:eastAsia="Calibri" w:cstheme="minorHAnsi"/>
          <w:b/>
          <w:bCs/>
          <w:i/>
          <w:color w:val="000000" w:themeColor="text1"/>
          <w:sz w:val="24"/>
          <w:szCs w:val="24"/>
        </w:rPr>
        <w:t>(</w:t>
      </w:r>
      <w:r>
        <w:rPr>
          <w:rFonts w:eastAsia="Calibri" w:cstheme="minorHAnsi"/>
          <w:b/>
          <w:bCs/>
          <w:i/>
          <w:color w:val="000000" w:themeColor="text1"/>
          <w:sz w:val="24"/>
          <w:szCs w:val="24"/>
        </w:rPr>
        <w:t>09</w:t>
      </w:r>
      <w:r w:rsidR="0042460B">
        <w:rPr>
          <w:rFonts w:eastAsia="Calibri" w:cstheme="minorHAnsi"/>
          <w:b/>
          <w:bCs/>
          <w:i/>
          <w:color w:val="000000" w:themeColor="text1"/>
          <w:sz w:val="24"/>
          <w:szCs w:val="24"/>
        </w:rPr>
        <w:t>.</w:t>
      </w:r>
      <w:r>
        <w:rPr>
          <w:rFonts w:eastAsia="Calibri" w:cstheme="minorHAnsi"/>
          <w:b/>
          <w:bCs/>
          <w:i/>
          <w:color w:val="000000" w:themeColor="text1"/>
          <w:sz w:val="24"/>
          <w:szCs w:val="24"/>
        </w:rPr>
        <w:t>24</w:t>
      </w:r>
      <w:r w:rsidR="0042460B">
        <w:rPr>
          <w:rFonts w:eastAsia="Calibri" w:cstheme="minorHAnsi"/>
          <w:b/>
          <w:bCs/>
          <w:i/>
          <w:color w:val="000000" w:themeColor="text1"/>
          <w:sz w:val="24"/>
          <w:szCs w:val="24"/>
        </w:rPr>
        <w:t>.2019</w:t>
      </w:r>
      <w:r w:rsidR="0042460B" w:rsidRPr="0077105F">
        <w:rPr>
          <w:rFonts w:eastAsia="Calibri" w:cstheme="minorHAnsi"/>
          <w:b/>
          <w:bCs/>
          <w:i/>
          <w:color w:val="000000" w:themeColor="text1"/>
          <w:sz w:val="24"/>
          <w:szCs w:val="24"/>
        </w:rPr>
        <w:t>)</w:t>
      </w:r>
      <w:r w:rsidR="0042460B">
        <w:rPr>
          <w:rFonts w:eastAsia="Calibri" w:cstheme="minorHAnsi"/>
          <w:b/>
          <w:bCs/>
          <w:i/>
          <w:color w:val="000000" w:themeColor="text1"/>
          <w:sz w:val="24"/>
          <w:szCs w:val="24"/>
        </w:rPr>
        <w:t xml:space="preserve"> </w:t>
      </w:r>
    </w:p>
    <w:p w14:paraId="3F66A216" w14:textId="77777777" w:rsidR="00367E0D" w:rsidRPr="00367E0D" w:rsidRDefault="00367E0D" w:rsidP="00367E0D">
      <w:pPr>
        <w:spacing w:before="120" w:after="120" w:line="259" w:lineRule="auto"/>
        <w:rPr>
          <w:rFonts w:ascii="Calibri" w:eastAsia="Calibri" w:hAnsi="Calibri" w:cs="Arial"/>
          <w:color w:val="101820"/>
          <w:sz w:val="24"/>
          <w:szCs w:val="24"/>
        </w:rPr>
      </w:pPr>
      <w:r w:rsidRPr="00367E0D">
        <w:rPr>
          <w:rFonts w:ascii="Calibri" w:eastAsia="Calibri" w:hAnsi="Calibri" w:cs="Arial"/>
          <w:color w:val="101820"/>
          <w:sz w:val="24"/>
          <w:szCs w:val="24"/>
        </w:rPr>
        <w:t>As part of the FDIC's "Trust through Transparency" initiative, the agency will host a series of listening sessions regarding its supervisory appeals and dispute resolution processes for FDIC-supervised financial institutions. The sessions will offer an opportunity for bankers and other interested parties to provide individual input and recommendations regarding these processes, as well as to provide individual suggestions regarding the role of the Office of the Ombudsman in assisting in resolving disagreements. Attendees will be requested to provide suggestions on information that the agency could publish on these topics. The sessions are being held as part of the FDIC's efforts to enhance the agency's transparency, efficiency, and accountability.</w:t>
      </w:r>
    </w:p>
    <w:p w14:paraId="59FFAB12" w14:textId="77777777" w:rsidR="00367E0D" w:rsidRPr="00367E0D" w:rsidRDefault="00367E0D" w:rsidP="00367E0D">
      <w:pPr>
        <w:spacing w:before="120" w:after="120" w:line="259" w:lineRule="auto"/>
        <w:rPr>
          <w:rFonts w:ascii="Calibri" w:eastAsia="Calibri" w:hAnsi="Calibri" w:cs="Arial"/>
          <w:color w:val="101820"/>
          <w:sz w:val="24"/>
          <w:szCs w:val="24"/>
        </w:rPr>
      </w:pPr>
      <w:r w:rsidRPr="00367E0D">
        <w:rPr>
          <w:rFonts w:ascii="Calibri" w:eastAsia="Calibri" w:hAnsi="Calibri" w:cs="Arial"/>
          <w:color w:val="101820"/>
          <w:sz w:val="24"/>
          <w:szCs w:val="24"/>
        </w:rPr>
        <w:t>The FDIC will host listening sessions for bankers and other interested parties beginning in the fourth quarter of 2019. Each session will be facilitated by representatives from the FDIC's Office of the Ombudsman and the Office of Communications.</w:t>
      </w:r>
    </w:p>
    <w:p w14:paraId="4052BB7D" w14:textId="77777777" w:rsidR="00367E0D" w:rsidRPr="00367E0D" w:rsidRDefault="00367E0D" w:rsidP="00367E0D">
      <w:pPr>
        <w:spacing w:before="120" w:after="120" w:line="259" w:lineRule="auto"/>
        <w:rPr>
          <w:rFonts w:ascii="Calibri" w:eastAsia="Calibri" w:hAnsi="Calibri" w:cs="Arial"/>
          <w:color w:val="101820"/>
          <w:sz w:val="24"/>
          <w:szCs w:val="24"/>
        </w:rPr>
      </w:pPr>
      <w:r w:rsidRPr="00367E0D">
        <w:rPr>
          <w:rFonts w:ascii="Calibri" w:eastAsia="Calibri" w:hAnsi="Calibri" w:cs="Arial"/>
          <w:color w:val="101820"/>
          <w:sz w:val="24"/>
          <w:szCs w:val="24"/>
        </w:rPr>
        <w:t>Attendees will be provided an opportunity to offer suggestions for advancing the FDIC's "Trust through Transparency" initiative to further build trust and confidence with bankers and other interested parties through openness and accountability.</w:t>
      </w:r>
    </w:p>
    <w:p w14:paraId="40EF7E1B" w14:textId="77777777" w:rsidR="00367E0D" w:rsidRPr="00367E0D" w:rsidRDefault="00367E0D" w:rsidP="00367E0D">
      <w:pPr>
        <w:spacing w:before="120" w:after="120" w:line="259" w:lineRule="auto"/>
        <w:rPr>
          <w:rFonts w:ascii="Calibri" w:eastAsia="Calibri" w:hAnsi="Calibri" w:cs="Arial"/>
          <w:color w:val="101820"/>
          <w:sz w:val="24"/>
          <w:szCs w:val="24"/>
        </w:rPr>
      </w:pPr>
      <w:r w:rsidRPr="00367E0D">
        <w:rPr>
          <w:rFonts w:ascii="Calibri" w:eastAsia="Calibri" w:hAnsi="Calibri" w:cs="Arial"/>
          <w:color w:val="101820"/>
          <w:sz w:val="24"/>
          <w:szCs w:val="24"/>
        </w:rPr>
        <w:t>Attendees will be encouraged to comment on the supervisory appeals and dispute resolution processes, including: (</w:t>
      </w:r>
      <w:proofErr w:type="spellStart"/>
      <w:r w:rsidRPr="00367E0D">
        <w:rPr>
          <w:rFonts w:ascii="Calibri" w:eastAsia="Calibri" w:hAnsi="Calibri" w:cs="Arial"/>
          <w:color w:val="101820"/>
          <w:sz w:val="24"/>
          <w:szCs w:val="24"/>
        </w:rPr>
        <w:t>i</w:t>
      </w:r>
      <w:proofErr w:type="spellEnd"/>
      <w:r w:rsidRPr="00367E0D">
        <w:rPr>
          <w:rFonts w:ascii="Calibri" w:eastAsia="Calibri" w:hAnsi="Calibri" w:cs="Arial"/>
          <w:color w:val="101820"/>
          <w:sz w:val="24"/>
          <w:szCs w:val="24"/>
        </w:rPr>
        <w:t xml:space="preserve">) opportunities to resolve disagreements at the examiner, Field Office, and Regional Office levels; (ii) perceived barriers to or concerns about resolving disagreements; (iii) timeframes and procedures for pursuing reviews and appeals under the FDIC's Appeals of Material Supervisory Determinations: Guidelines &amp; </w:t>
      </w:r>
      <w:r w:rsidRPr="00367E0D">
        <w:rPr>
          <w:rFonts w:ascii="Calibri" w:eastAsia="Calibri" w:hAnsi="Calibri" w:cs="Arial"/>
          <w:color w:val="101820"/>
          <w:sz w:val="24"/>
          <w:szCs w:val="24"/>
        </w:rPr>
        <w:lastRenderedPageBreak/>
        <w:t>Decisions; (iv) the role of the FDIC's Office of the Ombudsman in assisting in resolving disagreements; and (v) information publicly available on appeals and examination disagreements.</w:t>
      </w:r>
    </w:p>
    <w:p w14:paraId="3EC5A787" w14:textId="77777777" w:rsidR="00367E0D" w:rsidRPr="00367E0D" w:rsidRDefault="00367E0D" w:rsidP="00367E0D">
      <w:pPr>
        <w:spacing w:before="120" w:after="120" w:line="259" w:lineRule="auto"/>
        <w:rPr>
          <w:rFonts w:ascii="Calibri" w:eastAsia="Calibri" w:hAnsi="Calibri" w:cs="Arial"/>
          <w:color w:val="101820"/>
          <w:sz w:val="24"/>
          <w:szCs w:val="24"/>
        </w:rPr>
      </w:pPr>
      <w:r w:rsidRPr="00367E0D">
        <w:rPr>
          <w:rFonts w:ascii="Calibri" w:eastAsia="Calibri" w:hAnsi="Calibri" w:cs="Arial"/>
          <w:color w:val="101820"/>
          <w:sz w:val="24"/>
          <w:szCs w:val="24"/>
        </w:rPr>
        <w:t>Comments from each session will be summarized without specific attribution.</w:t>
      </w:r>
    </w:p>
    <w:p w14:paraId="3FB8B817" w14:textId="77777777" w:rsidR="00367E0D" w:rsidRPr="00367E0D" w:rsidRDefault="00367E0D" w:rsidP="00367E0D">
      <w:pPr>
        <w:spacing w:before="120" w:after="120" w:line="259" w:lineRule="auto"/>
        <w:rPr>
          <w:rFonts w:ascii="Calibri" w:eastAsia="Calibri" w:hAnsi="Calibri" w:cs="Arial"/>
          <w:color w:val="101820"/>
          <w:sz w:val="24"/>
          <w:szCs w:val="24"/>
        </w:rPr>
      </w:pPr>
      <w:r w:rsidRPr="00367E0D">
        <w:rPr>
          <w:rFonts w:ascii="Calibri" w:eastAsia="Calibri" w:hAnsi="Calibri" w:cs="Arial"/>
          <w:color w:val="101820"/>
          <w:sz w:val="24"/>
          <w:szCs w:val="24"/>
        </w:rPr>
        <w:t>The attached Listening Sessions Fact Sheet provides details on dates, locations, and instructions for registering for listening sessions.</w:t>
      </w:r>
    </w:p>
    <w:p w14:paraId="2C7B203A" w14:textId="010D8B59" w:rsidR="00367E0D" w:rsidRPr="00367E0D" w:rsidRDefault="00367E0D" w:rsidP="00367E0D">
      <w:pPr>
        <w:spacing w:before="120" w:after="120" w:line="259" w:lineRule="auto"/>
        <w:rPr>
          <w:rFonts w:ascii="Calibri" w:eastAsia="Calibri" w:hAnsi="Calibri" w:cs="Arial"/>
          <w:color w:val="101820"/>
          <w:sz w:val="24"/>
          <w:szCs w:val="24"/>
        </w:rPr>
      </w:pPr>
      <w:r w:rsidRPr="00367E0D">
        <w:rPr>
          <w:rFonts w:ascii="Calibri" w:eastAsia="Calibri" w:hAnsi="Calibri" w:cs="Arial"/>
          <w:color w:val="101820"/>
          <w:sz w:val="24"/>
          <w:szCs w:val="24"/>
        </w:rPr>
        <w:t xml:space="preserve">Continuation of </w:t>
      </w:r>
      <w:hyperlink r:id="rId42" w:anchor="continuation" w:history="1">
        <w:r w:rsidRPr="00367E0D">
          <w:rPr>
            <w:rStyle w:val="Hyperlink"/>
            <w:rFonts w:ascii="Calibri" w:eastAsia="Calibri" w:hAnsi="Calibri" w:cs="Arial"/>
            <w:sz w:val="24"/>
            <w:szCs w:val="24"/>
          </w:rPr>
          <w:t>FIL-52-2019</w:t>
        </w:r>
      </w:hyperlink>
    </w:p>
    <w:p w14:paraId="702DAC18" w14:textId="77777777" w:rsidR="00367E0D" w:rsidRPr="00367E0D" w:rsidRDefault="00367E0D" w:rsidP="00367E0D">
      <w:pPr>
        <w:spacing w:before="120" w:after="120" w:line="259" w:lineRule="auto"/>
        <w:rPr>
          <w:rFonts w:ascii="Calibri" w:eastAsia="Calibri" w:hAnsi="Calibri" w:cs="Arial"/>
          <w:color w:val="101820"/>
          <w:sz w:val="24"/>
          <w:szCs w:val="24"/>
        </w:rPr>
      </w:pPr>
      <w:r w:rsidRPr="00367E0D">
        <w:rPr>
          <w:rFonts w:ascii="Calibri" w:eastAsia="Calibri" w:hAnsi="Calibri" w:cs="Arial"/>
          <w:color w:val="101820"/>
          <w:sz w:val="24"/>
          <w:szCs w:val="24"/>
        </w:rPr>
        <w:t>Attachment:</w:t>
      </w:r>
    </w:p>
    <w:p w14:paraId="23300364" w14:textId="56F2A5A8" w:rsidR="00367E0D" w:rsidRPr="00367E0D" w:rsidRDefault="00E5154D" w:rsidP="00367E0D">
      <w:pPr>
        <w:spacing w:before="120" w:after="120" w:line="259" w:lineRule="auto"/>
        <w:rPr>
          <w:rFonts w:ascii="Calibri" w:eastAsia="Calibri" w:hAnsi="Calibri" w:cs="Arial"/>
          <w:color w:val="101820"/>
          <w:sz w:val="24"/>
          <w:szCs w:val="24"/>
        </w:rPr>
      </w:pPr>
      <w:hyperlink r:id="rId43" w:history="1">
        <w:r w:rsidR="00367E0D" w:rsidRPr="00367E0D">
          <w:rPr>
            <w:rStyle w:val="Hyperlink"/>
            <w:rFonts w:ascii="Calibri" w:eastAsia="Calibri" w:hAnsi="Calibri" w:cs="Arial"/>
            <w:sz w:val="24"/>
            <w:szCs w:val="24"/>
          </w:rPr>
          <w:t>Listening Sessions Fact Sheet</w:t>
        </w:r>
      </w:hyperlink>
    </w:p>
    <w:p w14:paraId="03FED1BF" w14:textId="77777777" w:rsidR="00367E0D" w:rsidRPr="00367E0D" w:rsidRDefault="00367E0D" w:rsidP="00367E0D">
      <w:pPr>
        <w:spacing w:before="120" w:after="120" w:line="259" w:lineRule="auto"/>
        <w:rPr>
          <w:rFonts w:ascii="Calibri" w:eastAsia="Calibri" w:hAnsi="Calibri" w:cs="Arial"/>
          <w:color w:val="101820"/>
          <w:sz w:val="24"/>
          <w:szCs w:val="24"/>
        </w:rPr>
      </w:pPr>
      <w:r w:rsidRPr="00367E0D">
        <w:rPr>
          <w:rFonts w:ascii="Calibri" w:eastAsia="Calibri" w:hAnsi="Calibri" w:cs="Arial"/>
          <w:color w:val="101820"/>
          <w:sz w:val="24"/>
          <w:szCs w:val="24"/>
        </w:rPr>
        <w:t>Related Topics:</w:t>
      </w:r>
    </w:p>
    <w:p w14:paraId="5AC7CB3A" w14:textId="2F21DD8E" w:rsidR="00367E0D" w:rsidRDefault="00E5154D" w:rsidP="00367E0D">
      <w:pPr>
        <w:spacing w:before="120" w:after="120" w:line="259" w:lineRule="auto"/>
        <w:rPr>
          <w:rFonts w:ascii="Calibri" w:eastAsia="Calibri" w:hAnsi="Calibri" w:cs="Arial"/>
          <w:color w:val="101820"/>
          <w:sz w:val="24"/>
          <w:szCs w:val="24"/>
        </w:rPr>
      </w:pPr>
      <w:hyperlink r:id="rId44" w:history="1">
        <w:r w:rsidR="00367E0D" w:rsidRPr="00367E0D">
          <w:rPr>
            <w:rStyle w:val="Hyperlink"/>
            <w:rFonts w:ascii="Calibri" w:eastAsia="Calibri" w:hAnsi="Calibri" w:cs="Arial"/>
            <w:sz w:val="24"/>
            <w:szCs w:val="24"/>
          </w:rPr>
          <w:t>Appeals of Material Supervisory Determinations: Guidelines &amp; Decisions</w:t>
        </w:r>
      </w:hyperlink>
    </w:p>
    <w:p w14:paraId="554EDEAF" w14:textId="2A4680A8" w:rsidR="0042460B" w:rsidRDefault="0042460B" w:rsidP="00367E0D">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45" w:history="1">
        <w:r w:rsidRPr="00367E0D">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20065A3D" w14:textId="77777777" w:rsidR="0042460B" w:rsidRDefault="0042460B" w:rsidP="0042460B">
      <w:pPr>
        <w:spacing w:before="120" w:after="120" w:line="259" w:lineRule="auto"/>
        <w:rPr>
          <w:rFonts w:eastAsia="Calibri" w:cstheme="minorHAnsi"/>
          <w:b/>
          <w:bCs/>
          <w:i/>
          <w:color w:val="002060"/>
          <w:sz w:val="24"/>
          <w:szCs w:val="24"/>
        </w:rPr>
      </w:pPr>
    </w:p>
    <w:p w14:paraId="625A1B30" w14:textId="44DEA371" w:rsidR="00C307EA" w:rsidRPr="0077105F" w:rsidRDefault="00C307EA" w:rsidP="00C307EA">
      <w:pPr>
        <w:tabs>
          <w:tab w:val="left" w:pos="7284"/>
        </w:tabs>
        <w:spacing w:before="120" w:after="120" w:line="259" w:lineRule="auto"/>
        <w:rPr>
          <w:rFonts w:eastAsia="Calibri" w:cstheme="minorHAnsi"/>
          <w:b/>
          <w:bCs/>
          <w:i/>
          <w:color w:val="000000" w:themeColor="text1"/>
          <w:sz w:val="24"/>
          <w:szCs w:val="24"/>
        </w:rPr>
      </w:pPr>
      <w:r w:rsidRPr="00C307EA">
        <w:rPr>
          <w:rFonts w:eastAsia="Calibri" w:cstheme="minorHAnsi"/>
          <w:b/>
          <w:bCs/>
          <w:i/>
          <w:color w:val="000000" w:themeColor="text1"/>
          <w:sz w:val="24"/>
          <w:szCs w:val="24"/>
        </w:rPr>
        <w:t xml:space="preserve">FDIC Consumer News: Is the Money on My Prepaid Card FDIC-Insured? </w:t>
      </w:r>
      <w:r>
        <w:rPr>
          <w:rFonts w:eastAsia="Calibri" w:cstheme="minorHAnsi"/>
          <w:b/>
          <w:bCs/>
          <w:i/>
          <w:color w:val="000000" w:themeColor="text1"/>
          <w:sz w:val="24"/>
          <w:szCs w:val="24"/>
        </w:rPr>
        <w:t>(09.24.2019</w:t>
      </w:r>
      <w:r w:rsidRPr="0077105F">
        <w:rPr>
          <w:rFonts w:eastAsia="Calibri" w:cstheme="minorHAnsi"/>
          <w:b/>
          <w:bCs/>
          <w:i/>
          <w:color w:val="000000" w:themeColor="text1"/>
          <w:sz w:val="24"/>
          <w:szCs w:val="24"/>
        </w:rPr>
        <w:t>)</w:t>
      </w:r>
      <w:r>
        <w:rPr>
          <w:rFonts w:eastAsia="Calibri" w:cstheme="minorHAnsi"/>
          <w:b/>
          <w:bCs/>
          <w:i/>
          <w:color w:val="000000" w:themeColor="text1"/>
          <w:sz w:val="24"/>
          <w:szCs w:val="24"/>
        </w:rPr>
        <w:t xml:space="preserve"> </w:t>
      </w:r>
    </w:p>
    <w:p w14:paraId="6B0F0DBE" w14:textId="771B6016" w:rsidR="002435AB" w:rsidRPr="002435AB" w:rsidRDefault="002435AB" w:rsidP="00C307EA">
      <w:pPr>
        <w:spacing w:before="120" w:after="120" w:line="259" w:lineRule="auto"/>
        <w:rPr>
          <w:rFonts w:ascii="Calibri" w:eastAsia="Calibri" w:hAnsi="Calibri" w:cs="Arial"/>
          <w:i/>
          <w:iCs/>
          <w:color w:val="101820"/>
          <w:sz w:val="24"/>
          <w:szCs w:val="24"/>
        </w:rPr>
      </w:pPr>
      <w:r>
        <w:rPr>
          <w:rFonts w:ascii="Calibri" w:eastAsia="Calibri" w:hAnsi="Calibri" w:cs="Arial"/>
          <w:color w:val="101820"/>
          <w:sz w:val="24"/>
          <w:szCs w:val="24"/>
        </w:rPr>
        <w:t xml:space="preserve">Here is an informative article in the recent FDIC </w:t>
      </w:r>
      <w:r>
        <w:rPr>
          <w:rFonts w:ascii="Calibri" w:eastAsia="Calibri" w:hAnsi="Calibri" w:cs="Arial"/>
          <w:i/>
          <w:iCs/>
          <w:color w:val="101820"/>
          <w:sz w:val="24"/>
          <w:szCs w:val="24"/>
        </w:rPr>
        <w:t>Consumer News:</w:t>
      </w:r>
    </w:p>
    <w:p w14:paraId="2A5B118E" w14:textId="5E61DAAD" w:rsidR="00C307EA" w:rsidRDefault="00C307EA" w:rsidP="00C307EA">
      <w:pPr>
        <w:spacing w:before="120" w:after="120" w:line="259" w:lineRule="auto"/>
        <w:rPr>
          <w:rFonts w:ascii="Calibri" w:eastAsia="Calibri" w:hAnsi="Calibri" w:cs="Arial"/>
          <w:color w:val="101820"/>
          <w:sz w:val="24"/>
          <w:szCs w:val="24"/>
        </w:rPr>
      </w:pPr>
      <w:r w:rsidRPr="00C307EA">
        <w:rPr>
          <w:rFonts w:ascii="Calibri" w:eastAsia="Calibri" w:hAnsi="Calibri" w:cs="Arial"/>
          <w:color w:val="101820"/>
          <w:sz w:val="24"/>
          <w:szCs w:val="24"/>
        </w:rPr>
        <w:t>Banks insured by the FDIC offer a wide variety of financial products beyond traditional checking and savings accounts, including prepaid cards. A prepaid card allows you to use a card to make purchases at stores, withdraw cash from ATMs, or to pay bills online without accessing a bank account or line of credit. Since these cards usually are not linked to a checking or savings account, consumers often ask, “Does the FDIC also insure the funds on my prepaid card?” The answer could be, “Yes,” but there are some important initial issues to understand.</w:t>
      </w:r>
    </w:p>
    <w:p w14:paraId="50D78EA2" w14:textId="440C6565" w:rsidR="00C307EA" w:rsidRDefault="00C307EA" w:rsidP="00C307EA">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46" w:history="1">
        <w:r w:rsidRPr="00C307EA">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7887C4A0" w14:textId="2B801408" w:rsidR="00C307EA" w:rsidRDefault="00C307EA" w:rsidP="00C307EA">
      <w:pPr>
        <w:spacing w:before="120" w:after="120" w:line="259" w:lineRule="auto"/>
        <w:rPr>
          <w:rFonts w:eastAsia="Calibri" w:cstheme="minorHAnsi"/>
          <w:b/>
          <w:bCs/>
          <w:i/>
          <w:color w:val="002060"/>
          <w:sz w:val="24"/>
          <w:szCs w:val="24"/>
        </w:rPr>
      </w:pPr>
      <w:r w:rsidRPr="0077105F">
        <w:rPr>
          <w:rFonts w:eastAsia="Calibri" w:cstheme="minorHAnsi"/>
          <w:b/>
          <w:bCs/>
          <w:i/>
          <w:color w:val="002060"/>
          <w:sz w:val="24"/>
          <w:szCs w:val="24"/>
        </w:rPr>
        <w:t xml:space="preserve">Comment: </w:t>
      </w:r>
      <w:r w:rsidR="002435AB">
        <w:rPr>
          <w:rFonts w:eastAsia="Calibri" w:cstheme="minorHAnsi"/>
          <w:b/>
          <w:bCs/>
          <w:i/>
          <w:color w:val="002060"/>
          <w:sz w:val="24"/>
          <w:szCs w:val="24"/>
        </w:rPr>
        <w:t>These articles are great for customer financial literacy and general outreach.</w:t>
      </w:r>
      <w:r>
        <w:rPr>
          <w:rFonts w:eastAsia="Calibri" w:cstheme="minorHAnsi"/>
          <w:b/>
          <w:bCs/>
          <w:i/>
          <w:color w:val="002060"/>
          <w:sz w:val="24"/>
          <w:szCs w:val="24"/>
        </w:rPr>
        <w:t xml:space="preserve"> </w:t>
      </w:r>
    </w:p>
    <w:p w14:paraId="6DB8B73A" w14:textId="77777777" w:rsidR="00C307EA" w:rsidRDefault="00C307EA" w:rsidP="0042460B">
      <w:pPr>
        <w:tabs>
          <w:tab w:val="left" w:pos="7284"/>
        </w:tabs>
        <w:spacing w:before="120" w:after="120" w:line="259" w:lineRule="auto"/>
        <w:rPr>
          <w:rFonts w:eastAsia="Calibri" w:cstheme="minorHAnsi"/>
          <w:b/>
          <w:bCs/>
          <w:i/>
          <w:color w:val="000000" w:themeColor="text1"/>
          <w:sz w:val="24"/>
          <w:szCs w:val="24"/>
        </w:rPr>
      </w:pPr>
    </w:p>
    <w:p w14:paraId="2EC0896A" w14:textId="24FF359E" w:rsidR="0042460B" w:rsidRPr="0077105F" w:rsidRDefault="005C5706" w:rsidP="0042460B">
      <w:pPr>
        <w:tabs>
          <w:tab w:val="left" w:pos="7284"/>
        </w:tabs>
        <w:spacing w:before="120" w:after="120" w:line="259" w:lineRule="auto"/>
        <w:rPr>
          <w:rFonts w:eastAsia="Calibri" w:cstheme="minorHAnsi"/>
          <w:b/>
          <w:bCs/>
          <w:i/>
          <w:color w:val="000000" w:themeColor="text1"/>
          <w:sz w:val="24"/>
          <w:szCs w:val="24"/>
        </w:rPr>
      </w:pPr>
      <w:r w:rsidRPr="005C5706">
        <w:rPr>
          <w:rFonts w:eastAsia="Calibri" w:cstheme="minorHAnsi"/>
          <w:b/>
          <w:bCs/>
          <w:i/>
          <w:color w:val="000000" w:themeColor="text1"/>
          <w:sz w:val="24"/>
          <w:szCs w:val="24"/>
        </w:rPr>
        <w:t>FDIC's Office of the Ombudsman Publishes 2018 Annual Report</w:t>
      </w:r>
      <w:r w:rsidR="0042460B" w:rsidRPr="00D60982">
        <w:rPr>
          <w:rFonts w:eastAsia="Calibri" w:cstheme="minorHAnsi"/>
          <w:b/>
          <w:bCs/>
          <w:i/>
          <w:color w:val="000000" w:themeColor="text1"/>
          <w:sz w:val="24"/>
          <w:szCs w:val="24"/>
        </w:rPr>
        <w:t xml:space="preserve"> </w:t>
      </w:r>
      <w:r w:rsidR="0042460B">
        <w:rPr>
          <w:rFonts w:eastAsia="Calibri" w:cstheme="minorHAnsi"/>
          <w:b/>
          <w:bCs/>
          <w:i/>
          <w:color w:val="000000" w:themeColor="text1"/>
          <w:sz w:val="24"/>
          <w:szCs w:val="24"/>
        </w:rPr>
        <w:t>(</w:t>
      </w:r>
      <w:r>
        <w:rPr>
          <w:rFonts w:eastAsia="Calibri" w:cstheme="minorHAnsi"/>
          <w:b/>
          <w:bCs/>
          <w:i/>
          <w:color w:val="000000" w:themeColor="text1"/>
          <w:sz w:val="24"/>
          <w:szCs w:val="24"/>
        </w:rPr>
        <w:t>09</w:t>
      </w:r>
      <w:r w:rsidR="0042460B">
        <w:rPr>
          <w:rFonts w:eastAsia="Calibri" w:cstheme="minorHAnsi"/>
          <w:b/>
          <w:bCs/>
          <w:i/>
          <w:color w:val="000000" w:themeColor="text1"/>
          <w:sz w:val="24"/>
          <w:szCs w:val="24"/>
        </w:rPr>
        <w:t>.</w:t>
      </w:r>
      <w:r>
        <w:rPr>
          <w:rFonts w:eastAsia="Calibri" w:cstheme="minorHAnsi"/>
          <w:b/>
          <w:bCs/>
          <w:i/>
          <w:color w:val="000000" w:themeColor="text1"/>
          <w:sz w:val="24"/>
          <w:szCs w:val="24"/>
        </w:rPr>
        <w:t>23</w:t>
      </w:r>
      <w:r w:rsidR="0042460B">
        <w:rPr>
          <w:rFonts w:eastAsia="Calibri" w:cstheme="minorHAnsi"/>
          <w:b/>
          <w:bCs/>
          <w:i/>
          <w:color w:val="000000" w:themeColor="text1"/>
          <w:sz w:val="24"/>
          <w:szCs w:val="24"/>
        </w:rPr>
        <w:t>.2019</w:t>
      </w:r>
      <w:r w:rsidR="0042460B" w:rsidRPr="0077105F">
        <w:rPr>
          <w:rFonts w:eastAsia="Calibri" w:cstheme="minorHAnsi"/>
          <w:b/>
          <w:bCs/>
          <w:i/>
          <w:color w:val="000000" w:themeColor="text1"/>
          <w:sz w:val="24"/>
          <w:szCs w:val="24"/>
        </w:rPr>
        <w:t>)</w:t>
      </w:r>
      <w:r w:rsidR="0042460B">
        <w:rPr>
          <w:rFonts w:eastAsia="Calibri" w:cstheme="minorHAnsi"/>
          <w:b/>
          <w:bCs/>
          <w:i/>
          <w:color w:val="000000" w:themeColor="text1"/>
          <w:sz w:val="24"/>
          <w:szCs w:val="24"/>
        </w:rPr>
        <w:t xml:space="preserve"> </w:t>
      </w:r>
    </w:p>
    <w:p w14:paraId="559743C1" w14:textId="1509FF81" w:rsidR="005C5706" w:rsidRPr="005C5706" w:rsidRDefault="005C5706" w:rsidP="005C5706">
      <w:pPr>
        <w:spacing w:before="120" w:after="120" w:line="259" w:lineRule="auto"/>
        <w:rPr>
          <w:rFonts w:ascii="Calibri" w:eastAsia="Calibri" w:hAnsi="Calibri" w:cs="Arial"/>
          <w:color w:val="101820"/>
          <w:sz w:val="24"/>
          <w:szCs w:val="24"/>
        </w:rPr>
      </w:pPr>
      <w:r w:rsidRPr="005C5706">
        <w:rPr>
          <w:rFonts w:ascii="Calibri" w:eastAsia="Calibri" w:hAnsi="Calibri" w:cs="Arial"/>
          <w:color w:val="101820"/>
          <w:sz w:val="24"/>
          <w:szCs w:val="24"/>
        </w:rPr>
        <w:t>The Federal Deposit Insurance Corporation's (FDIC's) Office of the Ombudsman, an independent, neutral, and confidential liaison between the agency and its stakeholders, published its 2018 Annual Report outlining the office’s structure, outreach activities, and goals.</w:t>
      </w:r>
    </w:p>
    <w:p w14:paraId="0918D6DA" w14:textId="77777777" w:rsidR="005C5706" w:rsidRPr="005C5706" w:rsidRDefault="005C5706" w:rsidP="005C5706">
      <w:pPr>
        <w:spacing w:before="120" w:after="120" w:line="259" w:lineRule="auto"/>
        <w:rPr>
          <w:rFonts w:ascii="Calibri" w:eastAsia="Calibri" w:hAnsi="Calibri" w:cs="Arial"/>
          <w:color w:val="101820"/>
          <w:sz w:val="24"/>
          <w:szCs w:val="24"/>
        </w:rPr>
      </w:pPr>
      <w:r w:rsidRPr="005C5706">
        <w:rPr>
          <w:rFonts w:ascii="Calibri" w:eastAsia="Calibri" w:hAnsi="Calibri" w:cs="Arial"/>
          <w:color w:val="101820"/>
          <w:sz w:val="24"/>
          <w:szCs w:val="24"/>
        </w:rPr>
        <w:t>"Engaging with our stakeholders helps the FDIC maintain strong working relationships and assists in identifying potentially recurring questions or issues that may warrant policy or process changes at the FDIC," said FDIC Ombudsman M. Anthony Lowe. "It is our hope that this annual report will continue to promote transparency relative to the agency's activities."</w:t>
      </w:r>
    </w:p>
    <w:p w14:paraId="5B86BEFB" w14:textId="77777777" w:rsidR="005C5706" w:rsidRPr="005C5706" w:rsidRDefault="005C5706" w:rsidP="005C5706">
      <w:pPr>
        <w:spacing w:before="120" w:after="120" w:line="259" w:lineRule="auto"/>
        <w:rPr>
          <w:rFonts w:ascii="Calibri" w:eastAsia="Calibri" w:hAnsi="Calibri" w:cs="Arial"/>
          <w:color w:val="101820"/>
          <w:sz w:val="24"/>
          <w:szCs w:val="24"/>
        </w:rPr>
      </w:pPr>
      <w:r w:rsidRPr="005C5706">
        <w:rPr>
          <w:rFonts w:ascii="Calibri" w:eastAsia="Calibri" w:hAnsi="Calibri" w:cs="Arial"/>
          <w:color w:val="101820"/>
          <w:sz w:val="24"/>
          <w:szCs w:val="24"/>
        </w:rPr>
        <w:t>In 2018, the Ombudsman Office handled 142 industry cases, many of which were able to be resolved by providing information and assistance for bank-specific questions or issues.</w:t>
      </w:r>
    </w:p>
    <w:p w14:paraId="1717B313" w14:textId="77777777" w:rsidR="005C5706" w:rsidRPr="005C5706" w:rsidRDefault="005C5706" w:rsidP="005C5706">
      <w:pPr>
        <w:spacing w:before="120" w:after="120" w:line="259" w:lineRule="auto"/>
        <w:rPr>
          <w:rFonts w:ascii="Calibri" w:eastAsia="Calibri" w:hAnsi="Calibri" w:cs="Arial"/>
          <w:color w:val="101820"/>
          <w:sz w:val="24"/>
          <w:szCs w:val="24"/>
        </w:rPr>
      </w:pPr>
      <w:r w:rsidRPr="005C5706">
        <w:rPr>
          <w:rFonts w:ascii="Calibri" w:eastAsia="Calibri" w:hAnsi="Calibri" w:cs="Arial"/>
          <w:color w:val="101820"/>
          <w:sz w:val="24"/>
          <w:szCs w:val="24"/>
        </w:rPr>
        <w:t xml:space="preserve">The office also conducted outreach visits to nearly 500 external stakeholders, including banks, trade associations, and state banking authorities. Through this engagement, the Ombudsman was able to work with bankers on many important efforts, such as collecting ideas around reducing regulatory burden, offering clarity on requirements of the Financial Accounting Standards Board rulemaking for current expected credit </w:t>
      </w:r>
      <w:r w:rsidRPr="005C5706">
        <w:rPr>
          <w:rFonts w:ascii="Calibri" w:eastAsia="Calibri" w:hAnsi="Calibri" w:cs="Arial"/>
          <w:color w:val="101820"/>
          <w:sz w:val="24"/>
          <w:szCs w:val="24"/>
        </w:rPr>
        <w:lastRenderedPageBreak/>
        <w:t>losses (CECL) and the Truth in Lending Act, and helping banks understand their obligations under the Bank Secrecy Act.</w:t>
      </w:r>
    </w:p>
    <w:p w14:paraId="6C12447F" w14:textId="77777777" w:rsidR="005C5706" w:rsidRPr="005C5706" w:rsidRDefault="005C5706" w:rsidP="005C5706">
      <w:pPr>
        <w:spacing w:before="120" w:after="120" w:line="259" w:lineRule="auto"/>
        <w:rPr>
          <w:rFonts w:ascii="Calibri" w:eastAsia="Calibri" w:hAnsi="Calibri" w:cs="Arial"/>
          <w:color w:val="101820"/>
          <w:sz w:val="24"/>
          <w:szCs w:val="24"/>
        </w:rPr>
      </w:pPr>
      <w:r w:rsidRPr="005C5706">
        <w:rPr>
          <w:rFonts w:ascii="Calibri" w:eastAsia="Calibri" w:hAnsi="Calibri" w:cs="Arial"/>
          <w:color w:val="101820"/>
          <w:sz w:val="24"/>
          <w:szCs w:val="24"/>
        </w:rPr>
        <w:t>The FDIC established the Ombudsman Office in 1994. To learn more about the office, or to submit an inquiry or comment, please visit www.fdic.gov/ombudsman.</w:t>
      </w:r>
    </w:p>
    <w:p w14:paraId="4481B771" w14:textId="77777777" w:rsidR="005C5706" w:rsidRPr="005C5706" w:rsidRDefault="005C5706" w:rsidP="005C5706">
      <w:pPr>
        <w:spacing w:before="120" w:after="120" w:line="259" w:lineRule="auto"/>
        <w:rPr>
          <w:rFonts w:ascii="Calibri" w:eastAsia="Calibri" w:hAnsi="Calibri" w:cs="Arial"/>
          <w:color w:val="101820"/>
          <w:sz w:val="24"/>
          <w:szCs w:val="24"/>
        </w:rPr>
      </w:pPr>
      <w:r w:rsidRPr="005C5706">
        <w:rPr>
          <w:rFonts w:ascii="Calibri" w:eastAsia="Calibri" w:hAnsi="Calibri" w:cs="Arial"/>
          <w:color w:val="101820"/>
          <w:sz w:val="24"/>
          <w:szCs w:val="24"/>
        </w:rPr>
        <w:t>Attachment:</w:t>
      </w:r>
    </w:p>
    <w:p w14:paraId="38DF67E1" w14:textId="0E9F8A2A" w:rsidR="005C5706" w:rsidRDefault="00E5154D" w:rsidP="005C5706">
      <w:pPr>
        <w:spacing w:before="120" w:after="120" w:line="259" w:lineRule="auto"/>
        <w:rPr>
          <w:rFonts w:ascii="Calibri" w:eastAsia="Calibri" w:hAnsi="Calibri" w:cs="Arial"/>
          <w:color w:val="101820"/>
          <w:sz w:val="24"/>
          <w:szCs w:val="24"/>
        </w:rPr>
      </w:pPr>
      <w:hyperlink r:id="rId47" w:history="1">
        <w:r w:rsidR="005C5706" w:rsidRPr="005C5706">
          <w:rPr>
            <w:rStyle w:val="Hyperlink"/>
            <w:rFonts w:ascii="Calibri" w:eastAsia="Calibri" w:hAnsi="Calibri" w:cs="Arial"/>
            <w:sz w:val="24"/>
            <w:szCs w:val="24"/>
          </w:rPr>
          <w:t>2018 Annual Report</w:t>
        </w:r>
      </w:hyperlink>
    </w:p>
    <w:p w14:paraId="4567B72F" w14:textId="66C0DEC9" w:rsidR="0042460B" w:rsidRDefault="0042460B" w:rsidP="005C5706">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48" w:history="1">
        <w:r w:rsidRPr="005C5706">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3E3FA354" w14:textId="2A69A75B" w:rsidR="00367E0D" w:rsidRDefault="00367E0D" w:rsidP="0042460B">
      <w:pPr>
        <w:spacing w:before="120" w:after="120" w:line="259" w:lineRule="auto"/>
        <w:rPr>
          <w:rFonts w:eastAsia="Calibri" w:cstheme="minorHAnsi"/>
          <w:b/>
          <w:bCs/>
          <w:i/>
          <w:color w:val="002060"/>
          <w:sz w:val="24"/>
          <w:szCs w:val="24"/>
        </w:rPr>
      </w:pPr>
    </w:p>
    <w:p w14:paraId="473C2253" w14:textId="51A37D5E" w:rsidR="00367E0D" w:rsidRPr="0077105F" w:rsidRDefault="00367E0D" w:rsidP="00367E0D">
      <w:pPr>
        <w:tabs>
          <w:tab w:val="left" w:pos="7284"/>
        </w:tabs>
        <w:spacing w:before="120" w:after="120" w:line="259" w:lineRule="auto"/>
        <w:rPr>
          <w:rFonts w:eastAsia="Calibri" w:cstheme="minorHAnsi"/>
          <w:b/>
          <w:bCs/>
          <w:i/>
          <w:color w:val="000000" w:themeColor="text1"/>
          <w:sz w:val="24"/>
          <w:szCs w:val="24"/>
        </w:rPr>
      </w:pPr>
      <w:r w:rsidRPr="00367E0D">
        <w:rPr>
          <w:rFonts w:eastAsia="Calibri" w:cstheme="minorHAnsi"/>
          <w:b/>
          <w:bCs/>
          <w:i/>
          <w:color w:val="000000" w:themeColor="text1"/>
          <w:sz w:val="24"/>
          <w:szCs w:val="24"/>
        </w:rPr>
        <w:t xml:space="preserve">Changes to the FDIC's Post-Examination Survey Process </w:t>
      </w:r>
      <w:r>
        <w:rPr>
          <w:rFonts w:eastAsia="Calibri" w:cstheme="minorHAnsi"/>
          <w:b/>
          <w:bCs/>
          <w:i/>
          <w:color w:val="000000" w:themeColor="text1"/>
          <w:sz w:val="24"/>
          <w:szCs w:val="24"/>
        </w:rPr>
        <w:t>(09.19.2019</w:t>
      </w:r>
      <w:r w:rsidRPr="0077105F">
        <w:rPr>
          <w:rFonts w:eastAsia="Calibri" w:cstheme="minorHAnsi"/>
          <w:b/>
          <w:bCs/>
          <w:i/>
          <w:color w:val="000000" w:themeColor="text1"/>
          <w:sz w:val="24"/>
          <w:szCs w:val="24"/>
        </w:rPr>
        <w:t>)</w:t>
      </w:r>
      <w:r>
        <w:rPr>
          <w:rFonts w:eastAsia="Calibri" w:cstheme="minorHAnsi"/>
          <w:b/>
          <w:bCs/>
          <w:i/>
          <w:color w:val="000000" w:themeColor="text1"/>
          <w:sz w:val="24"/>
          <w:szCs w:val="24"/>
        </w:rPr>
        <w:t xml:space="preserve"> </w:t>
      </w:r>
    </w:p>
    <w:p w14:paraId="2F4078B8" w14:textId="77777777" w:rsidR="00367E0D" w:rsidRPr="00367E0D" w:rsidRDefault="00367E0D" w:rsidP="00367E0D">
      <w:pPr>
        <w:spacing w:before="120" w:after="120" w:line="259" w:lineRule="auto"/>
        <w:rPr>
          <w:rFonts w:ascii="Calibri" w:eastAsia="Calibri" w:hAnsi="Calibri" w:cs="Arial"/>
          <w:color w:val="101820"/>
          <w:sz w:val="24"/>
          <w:szCs w:val="24"/>
        </w:rPr>
      </w:pPr>
      <w:r w:rsidRPr="00367E0D">
        <w:rPr>
          <w:rFonts w:ascii="Calibri" w:eastAsia="Calibri" w:hAnsi="Calibri" w:cs="Arial"/>
          <w:color w:val="101820"/>
          <w:sz w:val="24"/>
          <w:szCs w:val="24"/>
        </w:rPr>
        <w:t>The Federal Deposit Insurance Corporation (FDIC) is notifying FDIC-supervised financial institutions (banks) that the Office of the Ombudsman — which is independent of the supervisory process, reports directly to the FDIC Chairman's office, and is a confidential resource for banks — is now administering the Post-Examination Survey (Survey) process. This change further ensures confidentiality of Survey responses and is designed to promote additional candid feedback and to improve response rates. The change is also part of the FDIC's efforts to enhance transparency, efficiency, and accountability.</w:t>
      </w:r>
    </w:p>
    <w:p w14:paraId="086B590D" w14:textId="77777777" w:rsidR="00367E0D" w:rsidRPr="00367E0D" w:rsidRDefault="00367E0D" w:rsidP="00367E0D">
      <w:pPr>
        <w:spacing w:before="120" w:after="120" w:line="259" w:lineRule="auto"/>
        <w:rPr>
          <w:rFonts w:ascii="Calibri" w:eastAsia="Calibri" w:hAnsi="Calibri" w:cs="Arial"/>
          <w:color w:val="101820"/>
          <w:sz w:val="24"/>
          <w:szCs w:val="24"/>
        </w:rPr>
      </w:pPr>
      <w:r w:rsidRPr="00367E0D">
        <w:rPr>
          <w:rFonts w:ascii="Calibri" w:eastAsia="Calibri" w:hAnsi="Calibri" w:cs="Arial"/>
          <w:color w:val="101820"/>
          <w:sz w:val="24"/>
          <w:szCs w:val="24"/>
        </w:rPr>
        <w:t>The Office of the Ombudsman will:</w:t>
      </w:r>
    </w:p>
    <w:p w14:paraId="194403D2" w14:textId="77777777" w:rsidR="00367E0D" w:rsidRPr="00367E0D" w:rsidRDefault="00367E0D" w:rsidP="00367E0D">
      <w:pPr>
        <w:spacing w:before="120" w:after="120" w:line="259" w:lineRule="auto"/>
        <w:rPr>
          <w:rFonts w:ascii="Calibri" w:eastAsia="Calibri" w:hAnsi="Calibri" w:cs="Arial"/>
          <w:color w:val="101820"/>
          <w:sz w:val="24"/>
          <w:szCs w:val="24"/>
        </w:rPr>
      </w:pPr>
      <w:r w:rsidRPr="00367E0D">
        <w:rPr>
          <w:rFonts w:ascii="Calibri" w:eastAsia="Calibri" w:hAnsi="Calibri" w:cs="Arial"/>
          <w:color w:val="101820"/>
          <w:sz w:val="24"/>
          <w:szCs w:val="24"/>
        </w:rPr>
        <w:t>Assume responsibility for soliciting Survey responses effective October 1, 2019;</w:t>
      </w:r>
    </w:p>
    <w:p w14:paraId="615341D4" w14:textId="77777777" w:rsidR="00367E0D" w:rsidRPr="00367E0D" w:rsidRDefault="00367E0D" w:rsidP="00367E0D">
      <w:pPr>
        <w:spacing w:before="120" w:after="120" w:line="259" w:lineRule="auto"/>
        <w:rPr>
          <w:rFonts w:ascii="Calibri" w:eastAsia="Calibri" w:hAnsi="Calibri" w:cs="Arial"/>
          <w:color w:val="101820"/>
          <w:sz w:val="24"/>
          <w:szCs w:val="24"/>
        </w:rPr>
      </w:pPr>
      <w:r w:rsidRPr="00367E0D">
        <w:rPr>
          <w:rFonts w:ascii="Calibri" w:eastAsia="Calibri" w:hAnsi="Calibri" w:cs="Arial"/>
          <w:color w:val="101820"/>
          <w:sz w:val="24"/>
          <w:szCs w:val="24"/>
        </w:rPr>
        <w:t>Send notice that the Survey will accompany the Report of Examination;</w:t>
      </w:r>
    </w:p>
    <w:p w14:paraId="52113C7E" w14:textId="77777777" w:rsidR="00367E0D" w:rsidRPr="00367E0D" w:rsidRDefault="00367E0D" w:rsidP="00367E0D">
      <w:pPr>
        <w:spacing w:before="120" w:after="120" w:line="259" w:lineRule="auto"/>
        <w:rPr>
          <w:rFonts w:ascii="Calibri" w:eastAsia="Calibri" w:hAnsi="Calibri" w:cs="Arial"/>
          <w:color w:val="101820"/>
          <w:sz w:val="24"/>
          <w:szCs w:val="24"/>
        </w:rPr>
      </w:pPr>
      <w:r w:rsidRPr="00367E0D">
        <w:rPr>
          <w:rFonts w:ascii="Calibri" w:eastAsia="Calibri" w:hAnsi="Calibri" w:cs="Arial"/>
          <w:color w:val="101820"/>
          <w:sz w:val="24"/>
          <w:szCs w:val="24"/>
        </w:rPr>
        <w:t>Provide a reminder to encourage participation in the Survey; and</w:t>
      </w:r>
    </w:p>
    <w:p w14:paraId="7A4A8117" w14:textId="77777777" w:rsidR="00367E0D" w:rsidRPr="00367E0D" w:rsidRDefault="00367E0D" w:rsidP="00367E0D">
      <w:pPr>
        <w:spacing w:before="120" w:after="120" w:line="259" w:lineRule="auto"/>
        <w:rPr>
          <w:rFonts w:ascii="Calibri" w:eastAsia="Calibri" w:hAnsi="Calibri" w:cs="Arial"/>
          <w:color w:val="101820"/>
          <w:sz w:val="24"/>
          <w:szCs w:val="24"/>
        </w:rPr>
      </w:pPr>
      <w:r w:rsidRPr="00367E0D">
        <w:rPr>
          <w:rFonts w:ascii="Calibri" w:eastAsia="Calibri" w:hAnsi="Calibri" w:cs="Arial"/>
          <w:color w:val="101820"/>
          <w:sz w:val="24"/>
          <w:szCs w:val="24"/>
        </w:rPr>
        <w:t>Serve as the contact point for banks regarding the Survey and follow-up requests.</w:t>
      </w:r>
    </w:p>
    <w:p w14:paraId="17474EF6" w14:textId="77777777" w:rsidR="00367E0D" w:rsidRPr="00367E0D" w:rsidRDefault="00367E0D" w:rsidP="00367E0D">
      <w:pPr>
        <w:spacing w:before="120" w:after="120" w:line="259" w:lineRule="auto"/>
        <w:rPr>
          <w:rFonts w:ascii="Calibri" w:eastAsia="Calibri" w:hAnsi="Calibri" w:cs="Arial"/>
          <w:color w:val="101820"/>
          <w:sz w:val="24"/>
          <w:szCs w:val="24"/>
        </w:rPr>
      </w:pPr>
      <w:r w:rsidRPr="00367E0D">
        <w:rPr>
          <w:rFonts w:ascii="Calibri" w:eastAsia="Calibri" w:hAnsi="Calibri" w:cs="Arial"/>
          <w:color w:val="101820"/>
          <w:sz w:val="24"/>
          <w:szCs w:val="24"/>
        </w:rPr>
        <w:t>The FDIC Office of the Ombudsman is independent of the supervisory process, reports directly to the FDIC Chairman's office, and is a confidential resource for banks.</w:t>
      </w:r>
    </w:p>
    <w:p w14:paraId="25ACF3BC" w14:textId="77777777" w:rsidR="00367E0D" w:rsidRPr="00367E0D" w:rsidRDefault="00367E0D" w:rsidP="00367E0D">
      <w:pPr>
        <w:spacing w:before="120" w:after="120" w:line="259" w:lineRule="auto"/>
        <w:rPr>
          <w:rFonts w:ascii="Calibri" w:eastAsia="Calibri" w:hAnsi="Calibri" w:cs="Arial"/>
          <w:color w:val="101820"/>
          <w:sz w:val="24"/>
          <w:szCs w:val="24"/>
        </w:rPr>
      </w:pPr>
      <w:r w:rsidRPr="00367E0D">
        <w:rPr>
          <w:rFonts w:ascii="Calibri" w:eastAsia="Calibri" w:hAnsi="Calibri" w:cs="Arial"/>
          <w:color w:val="101820"/>
          <w:sz w:val="24"/>
          <w:szCs w:val="24"/>
        </w:rPr>
        <w:t>A copy of the current Survey questions for each exam type is attached for reference.</w:t>
      </w:r>
    </w:p>
    <w:p w14:paraId="770F27E5" w14:textId="77777777" w:rsidR="00367E0D" w:rsidRPr="00367E0D" w:rsidRDefault="00367E0D" w:rsidP="00367E0D">
      <w:pPr>
        <w:spacing w:before="120" w:after="120" w:line="259" w:lineRule="auto"/>
        <w:rPr>
          <w:rFonts w:ascii="Calibri" w:eastAsia="Calibri" w:hAnsi="Calibri" w:cs="Arial"/>
          <w:color w:val="101820"/>
          <w:sz w:val="24"/>
          <w:szCs w:val="24"/>
        </w:rPr>
      </w:pPr>
      <w:r w:rsidRPr="00367E0D">
        <w:rPr>
          <w:rFonts w:ascii="Calibri" w:eastAsia="Calibri" w:hAnsi="Calibri" w:cs="Arial"/>
          <w:color w:val="101820"/>
          <w:sz w:val="24"/>
          <w:szCs w:val="24"/>
        </w:rPr>
        <w:t>The Survey previously had been administered by the Division of Risk Management Supervision and the Division of Depositor and Consumer Protection.</w:t>
      </w:r>
    </w:p>
    <w:p w14:paraId="6E714061" w14:textId="11E3A0DC" w:rsidR="00367E0D" w:rsidRDefault="00367E0D" w:rsidP="00367E0D">
      <w:pPr>
        <w:spacing w:before="120" w:after="120" w:line="259" w:lineRule="auto"/>
        <w:rPr>
          <w:rFonts w:ascii="Calibri" w:eastAsia="Calibri" w:hAnsi="Calibri" w:cs="Arial"/>
          <w:color w:val="101820"/>
          <w:sz w:val="24"/>
          <w:szCs w:val="24"/>
        </w:rPr>
      </w:pPr>
      <w:r w:rsidRPr="00367E0D">
        <w:rPr>
          <w:rFonts w:ascii="Calibri" w:eastAsia="Calibri" w:hAnsi="Calibri" w:cs="Arial"/>
          <w:color w:val="101820"/>
          <w:sz w:val="24"/>
          <w:szCs w:val="24"/>
        </w:rPr>
        <w:t xml:space="preserve">Continuation of </w:t>
      </w:r>
      <w:hyperlink r:id="rId49" w:anchor="continuation" w:history="1">
        <w:r w:rsidRPr="00367E0D">
          <w:rPr>
            <w:rStyle w:val="Hyperlink"/>
            <w:rFonts w:ascii="Calibri" w:eastAsia="Calibri" w:hAnsi="Calibri" w:cs="Arial"/>
            <w:sz w:val="24"/>
            <w:szCs w:val="24"/>
          </w:rPr>
          <w:t>FIL-50-2019</w:t>
        </w:r>
      </w:hyperlink>
    </w:p>
    <w:p w14:paraId="63CB8CFD" w14:textId="5A4EDB72" w:rsidR="00367E0D" w:rsidRDefault="00367E0D" w:rsidP="00367E0D">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50" w:history="1">
        <w:r w:rsidRPr="00367E0D">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12ECB841" w14:textId="5EC5D810" w:rsidR="00367E0D" w:rsidRDefault="00367E0D" w:rsidP="00367E0D">
      <w:pPr>
        <w:spacing w:before="120" w:after="120" w:line="259" w:lineRule="auto"/>
        <w:rPr>
          <w:rFonts w:eastAsia="Calibri" w:cstheme="minorHAnsi"/>
          <w:b/>
          <w:bCs/>
          <w:i/>
          <w:color w:val="002060"/>
          <w:sz w:val="24"/>
          <w:szCs w:val="24"/>
        </w:rPr>
      </w:pPr>
      <w:r w:rsidRPr="0077105F">
        <w:rPr>
          <w:rFonts w:eastAsia="Calibri" w:cstheme="minorHAnsi"/>
          <w:b/>
          <w:bCs/>
          <w:i/>
          <w:color w:val="002060"/>
          <w:sz w:val="24"/>
          <w:szCs w:val="24"/>
        </w:rPr>
        <w:t xml:space="preserve">Comment: </w:t>
      </w:r>
      <w:r w:rsidR="004231D5" w:rsidRPr="004231D5">
        <w:rPr>
          <w:rFonts w:eastAsia="Calibri" w:cstheme="minorHAnsi"/>
          <w:b/>
          <w:bCs/>
          <w:i/>
          <w:color w:val="002060"/>
          <w:sz w:val="24"/>
          <w:szCs w:val="24"/>
        </w:rPr>
        <w:t xml:space="preserve">There have been efforts on behalf of the various agencies to help bring consistency </w:t>
      </w:r>
      <w:proofErr w:type="gramStart"/>
      <w:r w:rsidR="004231D5" w:rsidRPr="004231D5">
        <w:rPr>
          <w:rFonts w:eastAsia="Calibri" w:cstheme="minorHAnsi"/>
          <w:b/>
          <w:bCs/>
          <w:i/>
          <w:color w:val="002060"/>
          <w:sz w:val="24"/>
          <w:szCs w:val="24"/>
        </w:rPr>
        <w:t>with regard to</w:t>
      </w:r>
      <w:proofErr w:type="gramEnd"/>
      <w:r w:rsidR="004231D5" w:rsidRPr="004231D5">
        <w:rPr>
          <w:rFonts w:eastAsia="Calibri" w:cstheme="minorHAnsi"/>
          <w:b/>
          <w:bCs/>
          <w:i/>
          <w:color w:val="002060"/>
          <w:sz w:val="24"/>
          <w:szCs w:val="24"/>
        </w:rPr>
        <w:t xml:space="preserve"> the application of consumer compliance regulation. In </w:t>
      </w:r>
      <w:r w:rsidR="004C0273">
        <w:rPr>
          <w:rFonts w:eastAsia="Calibri" w:cstheme="minorHAnsi"/>
          <w:b/>
          <w:bCs/>
          <w:i/>
          <w:color w:val="002060"/>
          <w:sz w:val="24"/>
          <w:szCs w:val="24"/>
        </w:rPr>
        <w:t xml:space="preserve">the </w:t>
      </w:r>
      <w:r w:rsidR="004231D5" w:rsidRPr="004231D5">
        <w:rPr>
          <w:rFonts w:eastAsia="Calibri" w:cstheme="minorHAnsi"/>
          <w:b/>
          <w:bCs/>
          <w:i/>
          <w:color w:val="002060"/>
          <w:sz w:val="24"/>
          <w:szCs w:val="24"/>
        </w:rPr>
        <w:t xml:space="preserve">last year in particular, </w:t>
      </w:r>
      <w:r w:rsidR="004C0273">
        <w:rPr>
          <w:rFonts w:eastAsia="Calibri" w:cstheme="minorHAnsi"/>
          <w:b/>
          <w:bCs/>
          <w:i/>
          <w:color w:val="002060"/>
          <w:sz w:val="24"/>
          <w:szCs w:val="24"/>
        </w:rPr>
        <w:t xml:space="preserve">it has been a priority at </w:t>
      </w:r>
      <w:proofErr w:type="gramStart"/>
      <w:r w:rsidR="004C0273">
        <w:rPr>
          <w:rFonts w:eastAsia="Calibri" w:cstheme="minorHAnsi"/>
          <w:b/>
          <w:bCs/>
          <w:i/>
          <w:color w:val="002060"/>
          <w:sz w:val="24"/>
          <w:szCs w:val="24"/>
        </w:rPr>
        <w:t xml:space="preserve">the  </w:t>
      </w:r>
      <w:r w:rsidR="004231D5" w:rsidRPr="004231D5">
        <w:rPr>
          <w:rFonts w:eastAsia="Calibri" w:cstheme="minorHAnsi"/>
          <w:b/>
          <w:bCs/>
          <w:i/>
          <w:color w:val="002060"/>
          <w:sz w:val="24"/>
          <w:szCs w:val="24"/>
        </w:rPr>
        <w:t>FDIC</w:t>
      </w:r>
      <w:proofErr w:type="gramEnd"/>
      <w:r w:rsidR="004231D5" w:rsidRPr="004231D5">
        <w:rPr>
          <w:rFonts w:eastAsia="Calibri" w:cstheme="minorHAnsi"/>
          <w:b/>
          <w:bCs/>
          <w:i/>
          <w:color w:val="002060"/>
          <w:sz w:val="24"/>
          <w:szCs w:val="24"/>
        </w:rPr>
        <w:t xml:space="preserve"> to provide more certainty and transparency in </w:t>
      </w:r>
      <w:r w:rsidR="004C0273">
        <w:rPr>
          <w:rFonts w:eastAsia="Calibri" w:cstheme="minorHAnsi"/>
          <w:b/>
          <w:bCs/>
          <w:i/>
          <w:color w:val="002060"/>
          <w:sz w:val="24"/>
          <w:szCs w:val="24"/>
        </w:rPr>
        <w:t>its</w:t>
      </w:r>
      <w:r w:rsidR="004231D5" w:rsidRPr="004231D5">
        <w:rPr>
          <w:rFonts w:eastAsia="Calibri" w:cstheme="minorHAnsi"/>
          <w:b/>
          <w:bCs/>
          <w:i/>
          <w:color w:val="002060"/>
          <w:sz w:val="24"/>
          <w:szCs w:val="24"/>
        </w:rPr>
        <w:t xml:space="preserve"> oversight processes and treatment of the </w:t>
      </w:r>
      <w:r w:rsidR="004231D5">
        <w:rPr>
          <w:rFonts w:eastAsia="Calibri" w:cstheme="minorHAnsi"/>
          <w:b/>
          <w:bCs/>
          <w:i/>
          <w:color w:val="002060"/>
          <w:sz w:val="24"/>
          <w:szCs w:val="24"/>
        </w:rPr>
        <w:t>banks</w:t>
      </w:r>
      <w:r w:rsidR="004231D5" w:rsidRPr="004231D5">
        <w:rPr>
          <w:rFonts w:eastAsia="Calibri" w:cstheme="minorHAnsi"/>
          <w:b/>
          <w:bCs/>
          <w:i/>
          <w:color w:val="002060"/>
          <w:sz w:val="24"/>
          <w:szCs w:val="24"/>
        </w:rPr>
        <w:t xml:space="preserve"> </w:t>
      </w:r>
      <w:r w:rsidR="004C0273">
        <w:rPr>
          <w:rFonts w:eastAsia="Calibri" w:cstheme="minorHAnsi"/>
          <w:b/>
          <w:bCs/>
          <w:i/>
          <w:color w:val="002060"/>
          <w:sz w:val="24"/>
          <w:szCs w:val="24"/>
        </w:rPr>
        <w:t>it</w:t>
      </w:r>
      <w:r w:rsidR="004231D5" w:rsidRPr="004231D5">
        <w:rPr>
          <w:rFonts w:eastAsia="Calibri" w:cstheme="minorHAnsi"/>
          <w:b/>
          <w:bCs/>
          <w:i/>
          <w:color w:val="002060"/>
          <w:sz w:val="24"/>
          <w:szCs w:val="24"/>
        </w:rPr>
        <w:t xml:space="preserve"> regulate</w:t>
      </w:r>
      <w:r w:rsidR="004C0273">
        <w:rPr>
          <w:rFonts w:eastAsia="Calibri" w:cstheme="minorHAnsi"/>
          <w:b/>
          <w:bCs/>
          <w:i/>
          <w:color w:val="002060"/>
          <w:sz w:val="24"/>
          <w:szCs w:val="24"/>
        </w:rPr>
        <w:t>s</w:t>
      </w:r>
      <w:r w:rsidR="004231D5" w:rsidRPr="004231D5">
        <w:rPr>
          <w:rFonts w:eastAsia="Calibri" w:cstheme="minorHAnsi"/>
          <w:b/>
          <w:bCs/>
          <w:i/>
          <w:color w:val="002060"/>
          <w:sz w:val="24"/>
          <w:szCs w:val="24"/>
        </w:rPr>
        <w:t>.</w:t>
      </w:r>
    </w:p>
    <w:p w14:paraId="0F801762" w14:textId="77777777" w:rsidR="00777C05" w:rsidRPr="00BD147A" w:rsidRDefault="00063F3D" w:rsidP="00BD147A">
      <w:pPr>
        <w:pStyle w:val="CCTOCHeading"/>
        <w:spacing w:line="259" w:lineRule="auto"/>
        <w:rPr>
          <w:rFonts w:asciiTheme="minorHAnsi" w:hAnsiTheme="minorHAnsi" w:cstheme="minorHAnsi"/>
        </w:rPr>
      </w:pPr>
      <w:bookmarkStart w:id="35" w:name="_Toc22799376"/>
      <w:r w:rsidRPr="00436AD8">
        <w:rPr>
          <w:rFonts w:asciiTheme="minorHAnsi" w:hAnsiTheme="minorHAnsi" w:cstheme="minorHAnsi"/>
        </w:rPr>
        <w:t>OCC actions</w:t>
      </w:r>
      <w:bookmarkStart w:id="36" w:name="_Hlk484674731"/>
      <w:bookmarkStart w:id="37" w:name="_Toc409519096"/>
      <w:bookmarkEnd w:id="32"/>
      <w:bookmarkEnd w:id="33"/>
      <w:r w:rsidRPr="006E7501">
        <w:rPr>
          <w:rFonts w:asciiTheme="minorHAnsi" w:eastAsiaTheme="minorHAnsi" w:hAnsiTheme="minorHAnsi" w:cstheme="minorHAnsi"/>
          <w:b w:val="0"/>
          <w:color w:val="auto"/>
          <w:sz w:val="22"/>
          <w:szCs w:val="22"/>
        </w:rPr>
        <w:t xml:space="preserve"> </w:t>
      </w:r>
      <w:r w:rsidRPr="006E7501">
        <w:rPr>
          <w:rFonts w:asciiTheme="minorHAnsi" w:hAnsiTheme="minorHAnsi" w:cstheme="minorHAnsi"/>
        </w:rPr>
        <w:t>and news</w:t>
      </w:r>
      <w:bookmarkStart w:id="38" w:name="_Hlk514920401"/>
      <w:bookmarkStart w:id="39" w:name="_Toc409519097"/>
      <w:bookmarkStart w:id="40" w:name="_Toc504138796"/>
      <w:bookmarkStart w:id="41" w:name="_Hlk495582916"/>
      <w:bookmarkEnd w:id="34"/>
      <w:bookmarkEnd w:id="35"/>
      <w:bookmarkEnd w:id="36"/>
      <w:bookmarkEnd w:id="37"/>
    </w:p>
    <w:p w14:paraId="485D3264" w14:textId="74068858" w:rsidR="006959BA" w:rsidRPr="0077105F" w:rsidRDefault="006959BA" w:rsidP="006959BA">
      <w:pPr>
        <w:tabs>
          <w:tab w:val="left" w:pos="7284"/>
        </w:tabs>
        <w:spacing w:before="120" w:after="120" w:line="259" w:lineRule="auto"/>
        <w:rPr>
          <w:rFonts w:eastAsia="Calibri" w:cstheme="minorHAnsi"/>
          <w:b/>
          <w:bCs/>
          <w:i/>
          <w:color w:val="000000" w:themeColor="text1"/>
          <w:sz w:val="24"/>
          <w:szCs w:val="24"/>
        </w:rPr>
      </w:pPr>
      <w:r w:rsidRPr="006959BA">
        <w:rPr>
          <w:rFonts w:eastAsia="Calibri" w:cstheme="minorHAnsi"/>
          <w:b/>
          <w:bCs/>
          <w:i/>
          <w:color w:val="000000" w:themeColor="text1"/>
          <w:sz w:val="24"/>
          <w:szCs w:val="24"/>
        </w:rPr>
        <w:t xml:space="preserve">Blake Paulson Named Agency’s Next Senior Deputy Comptroller for Midsize and Community Bank Supervision </w:t>
      </w:r>
      <w:r>
        <w:rPr>
          <w:rFonts w:eastAsia="Calibri" w:cstheme="minorHAnsi"/>
          <w:b/>
          <w:bCs/>
          <w:i/>
          <w:color w:val="000000" w:themeColor="text1"/>
          <w:sz w:val="24"/>
          <w:szCs w:val="24"/>
        </w:rPr>
        <w:t>(10.15.2019</w:t>
      </w:r>
      <w:r w:rsidRPr="0077105F">
        <w:rPr>
          <w:rFonts w:eastAsia="Calibri" w:cstheme="minorHAnsi"/>
          <w:b/>
          <w:bCs/>
          <w:i/>
          <w:color w:val="000000" w:themeColor="text1"/>
          <w:sz w:val="24"/>
          <w:szCs w:val="24"/>
        </w:rPr>
        <w:t>)</w:t>
      </w:r>
      <w:r>
        <w:rPr>
          <w:rFonts w:eastAsia="Calibri" w:cstheme="minorHAnsi"/>
          <w:b/>
          <w:bCs/>
          <w:i/>
          <w:color w:val="000000" w:themeColor="text1"/>
          <w:sz w:val="24"/>
          <w:szCs w:val="24"/>
        </w:rPr>
        <w:t xml:space="preserve"> </w:t>
      </w:r>
    </w:p>
    <w:p w14:paraId="26FCA50A" w14:textId="2DED280B" w:rsidR="006959BA" w:rsidRPr="006959BA" w:rsidRDefault="006959BA" w:rsidP="006959BA">
      <w:pPr>
        <w:spacing w:before="120" w:after="120" w:line="259" w:lineRule="auto"/>
        <w:rPr>
          <w:rFonts w:ascii="Calibri" w:eastAsia="Calibri" w:hAnsi="Calibri" w:cs="Arial"/>
          <w:color w:val="101820"/>
          <w:sz w:val="24"/>
          <w:szCs w:val="24"/>
        </w:rPr>
      </w:pPr>
      <w:r w:rsidRPr="006959BA">
        <w:rPr>
          <w:rFonts w:ascii="Calibri" w:eastAsia="Calibri" w:hAnsi="Calibri" w:cs="Arial"/>
          <w:color w:val="101820"/>
          <w:sz w:val="24"/>
          <w:szCs w:val="24"/>
        </w:rPr>
        <w:lastRenderedPageBreak/>
        <w:t>WASHINGTON—The Office of the Comptroller of the Currency (OCC) announced Blake Paulson would become the next Senior Deputy Comptroller for Midsize and Community Bank Supervision.</w:t>
      </w:r>
    </w:p>
    <w:p w14:paraId="4DBCB580" w14:textId="77777777" w:rsidR="006959BA" w:rsidRPr="006959BA" w:rsidRDefault="006959BA" w:rsidP="006959BA">
      <w:pPr>
        <w:spacing w:before="120" w:after="120" w:line="259" w:lineRule="auto"/>
        <w:rPr>
          <w:rFonts w:ascii="Calibri" w:eastAsia="Calibri" w:hAnsi="Calibri" w:cs="Arial"/>
          <w:color w:val="101820"/>
          <w:sz w:val="24"/>
          <w:szCs w:val="24"/>
        </w:rPr>
      </w:pPr>
      <w:r w:rsidRPr="006959BA">
        <w:rPr>
          <w:rFonts w:ascii="Calibri" w:eastAsia="Calibri" w:hAnsi="Calibri" w:cs="Arial"/>
          <w:color w:val="101820"/>
          <w:sz w:val="24"/>
          <w:szCs w:val="24"/>
        </w:rPr>
        <w:t>In this role, Mr. Paulson will oversee the team of more than 1,500 employees responsible for supervising approximately 1,100 community and midsize national banks and federal savings associations that provide banking services to consumers, business, and communities, across the country. In addition, he will serve on the OCC’s Executive Committee and sit on various governance committees that oversee critical agency functions and help align its activity to its strategic goals and objectives.</w:t>
      </w:r>
    </w:p>
    <w:p w14:paraId="1C08882B" w14:textId="77777777" w:rsidR="006959BA" w:rsidRPr="006959BA" w:rsidRDefault="006959BA" w:rsidP="006959BA">
      <w:pPr>
        <w:spacing w:before="120" w:after="120" w:line="259" w:lineRule="auto"/>
        <w:rPr>
          <w:rFonts w:ascii="Calibri" w:eastAsia="Calibri" w:hAnsi="Calibri" w:cs="Arial"/>
          <w:color w:val="101820"/>
          <w:sz w:val="24"/>
          <w:szCs w:val="24"/>
        </w:rPr>
      </w:pPr>
      <w:r w:rsidRPr="006959BA">
        <w:rPr>
          <w:rFonts w:ascii="Calibri" w:eastAsia="Calibri" w:hAnsi="Calibri" w:cs="Arial"/>
          <w:color w:val="101820"/>
          <w:sz w:val="24"/>
          <w:szCs w:val="24"/>
        </w:rPr>
        <w:t xml:space="preserve">"Blake brings more than three decades of OCC experience to this opportunity," said Comptroller of the Currency Joseph </w:t>
      </w:r>
      <w:proofErr w:type="spellStart"/>
      <w:r w:rsidRPr="006959BA">
        <w:rPr>
          <w:rFonts w:ascii="Calibri" w:eastAsia="Calibri" w:hAnsi="Calibri" w:cs="Arial"/>
          <w:color w:val="101820"/>
          <w:sz w:val="24"/>
          <w:szCs w:val="24"/>
        </w:rPr>
        <w:t>Otting</w:t>
      </w:r>
      <w:proofErr w:type="spellEnd"/>
      <w:r w:rsidRPr="006959BA">
        <w:rPr>
          <w:rFonts w:ascii="Calibri" w:eastAsia="Calibri" w:hAnsi="Calibri" w:cs="Arial"/>
          <w:color w:val="101820"/>
          <w:sz w:val="24"/>
          <w:szCs w:val="24"/>
        </w:rPr>
        <w:t>. "He has shown a passion for our mission and employees and displayed a mastery of bank supervision issues at banks of diverse sizes and business models. He understands community banks deeply and the necessary supervision that keeps them a vital part of our financial system today."</w:t>
      </w:r>
    </w:p>
    <w:p w14:paraId="75654D40" w14:textId="77777777" w:rsidR="006959BA" w:rsidRDefault="006959BA" w:rsidP="006959BA">
      <w:pPr>
        <w:spacing w:before="120" w:after="120" w:line="259" w:lineRule="auto"/>
        <w:rPr>
          <w:rFonts w:ascii="Calibri" w:eastAsia="Calibri" w:hAnsi="Calibri" w:cs="Arial"/>
          <w:color w:val="101820"/>
          <w:sz w:val="24"/>
          <w:szCs w:val="24"/>
        </w:rPr>
      </w:pPr>
      <w:r w:rsidRPr="006959BA">
        <w:rPr>
          <w:rFonts w:ascii="Calibri" w:eastAsia="Calibri" w:hAnsi="Calibri" w:cs="Arial"/>
          <w:color w:val="101820"/>
          <w:sz w:val="24"/>
          <w:szCs w:val="24"/>
        </w:rPr>
        <w:t>Mr. Paulson will take on this role in December 2019 as the incumbent Toney Bland prepares for retirement in January.</w:t>
      </w:r>
    </w:p>
    <w:p w14:paraId="01275906" w14:textId="35A59FB8" w:rsidR="006959BA" w:rsidRDefault="006959BA" w:rsidP="006959BA">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51" w:history="1">
        <w:r w:rsidRPr="00113F97">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2A98F0DE" w14:textId="77777777" w:rsidR="006959BA" w:rsidRDefault="006959BA" w:rsidP="0042460B">
      <w:pPr>
        <w:tabs>
          <w:tab w:val="left" w:pos="7284"/>
        </w:tabs>
        <w:spacing w:before="120" w:after="120" w:line="259" w:lineRule="auto"/>
        <w:rPr>
          <w:rFonts w:eastAsia="Calibri" w:cstheme="minorHAnsi"/>
          <w:b/>
          <w:bCs/>
          <w:i/>
          <w:color w:val="000000" w:themeColor="text1"/>
          <w:sz w:val="24"/>
          <w:szCs w:val="24"/>
        </w:rPr>
      </w:pPr>
    </w:p>
    <w:p w14:paraId="5A0F2FDD" w14:textId="1E39CDCD" w:rsidR="0042460B" w:rsidRPr="0077105F" w:rsidRDefault="00E803DE" w:rsidP="0042460B">
      <w:pPr>
        <w:tabs>
          <w:tab w:val="left" w:pos="7284"/>
        </w:tabs>
        <w:spacing w:before="120" w:after="120" w:line="259" w:lineRule="auto"/>
        <w:rPr>
          <w:rFonts w:eastAsia="Calibri" w:cstheme="minorHAnsi"/>
          <w:b/>
          <w:bCs/>
          <w:i/>
          <w:color w:val="000000" w:themeColor="text1"/>
          <w:sz w:val="24"/>
          <w:szCs w:val="24"/>
        </w:rPr>
      </w:pPr>
      <w:r w:rsidRPr="00E803DE">
        <w:rPr>
          <w:rFonts w:eastAsia="Calibri" w:cstheme="minorHAnsi"/>
          <w:b/>
          <w:bCs/>
          <w:i/>
          <w:color w:val="000000" w:themeColor="text1"/>
          <w:sz w:val="24"/>
          <w:szCs w:val="24"/>
        </w:rPr>
        <w:t xml:space="preserve">OCC Releases Bank Supervision Operating Plan for Fiscal Year 2020 </w:t>
      </w:r>
      <w:r w:rsidR="0042460B">
        <w:rPr>
          <w:rFonts w:eastAsia="Calibri" w:cstheme="minorHAnsi"/>
          <w:b/>
          <w:bCs/>
          <w:i/>
          <w:color w:val="000000" w:themeColor="text1"/>
          <w:sz w:val="24"/>
          <w:szCs w:val="24"/>
        </w:rPr>
        <w:t>(</w:t>
      </w:r>
      <w:r>
        <w:rPr>
          <w:rFonts w:eastAsia="Calibri" w:cstheme="minorHAnsi"/>
          <w:b/>
          <w:bCs/>
          <w:i/>
          <w:color w:val="000000" w:themeColor="text1"/>
          <w:sz w:val="24"/>
          <w:szCs w:val="24"/>
        </w:rPr>
        <w:t>10</w:t>
      </w:r>
      <w:r w:rsidR="0042460B">
        <w:rPr>
          <w:rFonts w:eastAsia="Calibri" w:cstheme="minorHAnsi"/>
          <w:b/>
          <w:bCs/>
          <w:i/>
          <w:color w:val="000000" w:themeColor="text1"/>
          <w:sz w:val="24"/>
          <w:szCs w:val="24"/>
        </w:rPr>
        <w:t>.</w:t>
      </w:r>
      <w:r>
        <w:rPr>
          <w:rFonts w:eastAsia="Calibri" w:cstheme="minorHAnsi"/>
          <w:b/>
          <w:bCs/>
          <w:i/>
          <w:color w:val="000000" w:themeColor="text1"/>
          <w:sz w:val="24"/>
          <w:szCs w:val="24"/>
        </w:rPr>
        <w:t>01</w:t>
      </w:r>
      <w:r w:rsidR="0042460B">
        <w:rPr>
          <w:rFonts w:eastAsia="Calibri" w:cstheme="minorHAnsi"/>
          <w:b/>
          <w:bCs/>
          <w:i/>
          <w:color w:val="000000" w:themeColor="text1"/>
          <w:sz w:val="24"/>
          <w:szCs w:val="24"/>
        </w:rPr>
        <w:t>.2019</w:t>
      </w:r>
      <w:r w:rsidR="0042460B" w:rsidRPr="0077105F">
        <w:rPr>
          <w:rFonts w:eastAsia="Calibri" w:cstheme="minorHAnsi"/>
          <w:b/>
          <w:bCs/>
          <w:i/>
          <w:color w:val="000000" w:themeColor="text1"/>
          <w:sz w:val="24"/>
          <w:szCs w:val="24"/>
        </w:rPr>
        <w:t>)</w:t>
      </w:r>
      <w:r w:rsidR="0042460B">
        <w:rPr>
          <w:rFonts w:eastAsia="Calibri" w:cstheme="minorHAnsi"/>
          <w:b/>
          <w:bCs/>
          <w:i/>
          <w:color w:val="000000" w:themeColor="text1"/>
          <w:sz w:val="24"/>
          <w:szCs w:val="24"/>
        </w:rPr>
        <w:t xml:space="preserve"> </w:t>
      </w:r>
    </w:p>
    <w:p w14:paraId="55E9546E" w14:textId="46176848" w:rsidR="00E803DE" w:rsidRPr="00E803DE" w:rsidRDefault="00E803DE" w:rsidP="00E803DE">
      <w:pPr>
        <w:spacing w:before="120" w:after="120" w:line="259" w:lineRule="auto"/>
        <w:rPr>
          <w:rFonts w:ascii="Calibri" w:eastAsia="Calibri" w:hAnsi="Calibri" w:cs="Arial"/>
          <w:color w:val="101820"/>
          <w:sz w:val="24"/>
          <w:szCs w:val="24"/>
        </w:rPr>
      </w:pPr>
      <w:r w:rsidRPr="00E803DE">
        <w:rPr>
          <w:rFonts w:ascii="Calibri" w:eastAsia="Calibri" w:hAnsi="Calibri" w:cs="Arial"/>
          <w:color w:val="101820"/>
          <w:sz w:val="24"/>
          <w:szCs w:val="24"/>
        </w:rPr>
        <w:t>WASHINGTON — The Office of the Comptroller of the Currency (OCC) released its bank supervision operating plan for fiscal year (FY) 2020.</w:t>
      </w:r>
    </w:p>
    <w:p w14:paraId="7358E87C" w14:textId="77777777" w:rsidR="00E803DE" w:rsidRPr="00E803DE" w:rsidRDefault="00E803DE" w:rsidP="00E803DE">
      <w:pPr>
        <w:spacing w:before="120" w:after="120" w:line="259" w:lineRule="auto"/>
        <w:rPr>
          <w:rFonts w:ascii="Calibri" w:eastAsia="Calibri" w:hAnsi="Calibri" w:cs="Arial"/>
          <w:color w:val="101820"/>
          <w:sz w:val="24"/>
          <w:szCs w:val="24"/>
        </w:rPr>
      </w:pPr>
      <w:r w:rsidRPr="00E803DE">
        <w:rPr>
          <w:rFonts w:ascii="Calibri" w:eastAsia="Calibri" w:hAnsi="Calibri" w:cs="Arial"/>
          <w:color w:val="101820"/>
          <w:sz w:val="24"/>
          <w:szCs w:val="24"/>
        </w:rPr>
        <w:t>The plan provides the foundation for policy initiatives and for supervisory strategies as applied to individual national banks, federal savings associations, federal branches, federal agencies, and technology service providers. OCC staff members use this plan to guide their supervisory priorities, planning, and resource allocations.</w:t>
      </w:r>
    </w:p>
    <w:p w14:paraId="34DBC5CC" w14:textId="77777777" w:rsidR="00E803DE" w:rsidRPr="00E803DE" w:rsidRDefault="00E803DE" w:rsidP="00E803DE">
      <w:pPr>
        <w:spacing w:before="120" w:after="120" w:line="259" w:lineRule="auto"/>
        <w:rPr>
          <w:rFonts w:ascii="Calibri" w:eastAsia="Calibri" w:hAnsi="Calibri" w:cs="Arial"/>
          <w:color w:val="101820"/>
          <w:sz w:val="24"/>
          <w:szCs w:val="24"/>
        </w:rPr>
      </w:pPr>
      <w:r w:rsidRPr="00E803DE">
        <w:rPr>
          <w:rFonts w:ascii="Calibri" w:eastAsia="Calibri" w:hAnsi="Calibri" w:cs="Arial"/>
          <w:color w:val="101820"/>
          <w:sz w:val="24"/>
          <w:szCs w:val="24"/>
        </w:rPr>
        <w:t>Supervisory strategies for FY 2020 focus on</w:t>
      </w:r>
    </w:p>
    <w:p w14:paraId="6E3FFA8C" w14:textId="77777777" w:rsidR="00E803DE" w:rsidRPr="00E803DE" w:rsidRDefault="00E803DE" w:rsidP="00E803DE">
      <w:pPr>
        <w:pStyle w:val="ListParagraph"/>
        <w:numPr>
          <w:ilvl w:val="0"/>
          <w:numId w:val="45"/>
        </w:numPr>
        <w:spacing w:before="120" w:after="120" w:line="259" w:lineRule="auto"/>
        <w:rPr>
          <w:rFonts w:ascii="Calibri" w:eastAsia="Calibri" w:hAnsi="Calibri" w:cs="Arial"/>
          <w:color w:val="101820"/>
        </w:rPr>
      </w:pPr>
      <w:r w:rsidRPr="00E803DE">
        <w:rPr>
          <w:rFonts w:ascii="Calibri" w:eastAsia="Calibri" w:hAnsi="Calibri" w:cs="Arial"/>
          <w:color w:val="101820"/>
        </w:rPr>
        <w:t>cybersecurity and operational resiliency.</w:t>
      </w:r>
    </w:p>
    <w:p w14:paraId="277BCC17" w14:textId="77777777" w:rsidR="00E803DE" w:rsidRPr="00E803DE" w:rsidRDefault="00E803DE" w:rsidP="00E803DE">
      <w:pPr>
        <w:pStyle w:val="ListParagraph"/>
        <w:numPr>
          <w:ilvl w:val="0"/>
          <w:numId w:val="45"/>
        </w:numPr>
        <w:spacing w:before="120" w:after="120" w:line="259" w:lineRule="auto"/>
        <w:rPr>
          <w:rFonts w:ascii="Calibri" w:eastAsia="Calibri" w:hAnsi="Calibri" w:cs="Arial"/>
          <w:color w:val="101820"/>
        </w:rPr>
      </w:pPr>
      <w:r w:rsidRPr="00E803DE">
        <w:rPr>
          <w:rFonts w:ascii="Calibri" w:eastAsia="Calibri" w:hAnsi="Calibri" w:cs="Arial"/>
          <w:color w:val="101820"/>
        </w:rPr>
        <w:t>Bank Secrecy Act/anti-money laundering (BSA/AML) compliance management.</w:t>
      </w:r>
    </w:p>
    <w:p w14:paraId="53515251" w14:textId="77777777" w:rsidR="00E803DE" w:rsidRPr="00E803DE" w:rsidRDefault="00E803DE" w:rsidP="00E803DE">
      <w:pPr>
        <w:pStyle w:val="ListParagraph"/>
        <w:numPr>
          <w:ilvl w:val="0"/>
          <w:numId w:val="45"/>
        </w:numPr>
        <w:spacing w:before="120" w:after="120" w:line="259" w:lineRule="auto"/>
        <w:rPr>
          <w:rFonts w:ascii="Calibri" w:eastAsia="Calibri" w:hAnsi="Calibri" w:cs="Arial"/>
          <w:color w:val="101820"/>
        </w:rPr>
      </w:pPr>
      <w:r w:rsidRPr="00E803DE">
        <w:rPr>
          <w:rFonts w:ascii="Calibri" w:eastAsia="Calibri" w:hAnsi="Calibri" w:cs="Arial"/>
          <w:color w:val="101820"/>
        </w:rPr>
        <w:t>commercial and retail credit underwriting practices and oversight and control functions.</w:t>
      </w:r>
    </w:p>
    <w:p w14:paraId="71CFBD99" w14:textId="77777777" w:rsidR="00E803DE" w:rsidRPr="00E803DE" w:rsidRDefault="00E803DE" w:rsidP="00E803DE">
      <w:pPr>
        <w:pStyle w:val="ListParagraph"/>
        <w:numPr>
          <w:ilvl w:val="0"/>
          <w:numId w:val="45"/>
        </w:numPr>
        <w:spacing w:before="120" w:after="120" w:line="259" w:lineRule="auto"/>
        <w:rPr>
          <w:rFonts w:ascii="Calibri" w:eastAsia="Calibri" w:hAnsi="Calibri" w:cs="Arial"/>
          <w:color w:val="101820"/>
        </w:rPr>
      </w:pPr>
      <w:r w:rsidRPr="00E803DE">
        <w:rPr>
          <w:rFonts w:ascii="Calibri" w:eastAsia="Calibri" w:hAnsi="Calibri" w:cs="Arial"/>
          <w:color w:val="101820"/>
        </w:rPr>
        <w:t>impact of changing interest rate outlooks on bank activities and risk exposures.</w:t>
      </w:r>
    </w:p>
    <w:p w14:paraId="49A97E0F" w14:textId="77777777" w:rsidR="00E803DE" w:rsidRPr="00E803DE" w:rsidRDefault="00E803DE" w:rsidP="00E803DE">
      <w:pPr>
        <w:pStyle w:val="ListParagraph"/>
        <w:numPr>
          <w:ilvl w:val="0"/>
          <w:numId w:val="45"/>
        </w:numPr>
        <w:spacing w:before="120" w:after="120" w:line="259" w:lineRule="auto"/>
        <w:rPr>
          <w:rFonts w:ascii="Calibri" w:eastAsia="Calibri" w:hAnsi="Calibri" w:cs="Arial"/>
          <w:color w:val="101820"/>
        </w:rPr>
      </w:pPr>
      <w:r w:rsidRPr="00E803DE">
        <w:rPr>
          <w:rFonts w:ascii="Calibri" w:eastAsia="Calibri" w:hAnsi="Calibri" w:cs="Arial"/>
          <w:color w:val="101820"/>
        </w:rPr>
        <w:t>preparedness for the current expected credit losses (CECL) account standard, and preparation for the potential phase-out of the London Interbank Offering Rate (LIBOR).</w:t>
      </w:r>
    </w:p>
    <w:p w14:paraId="0655D973" w14:textId="77777777" w:rsidR="00E803DE" w:rsidRPr="00E803DE" w:rsidRDefault="00E803DE" w:rsidP="00E803DE">
      <w:pPr>
        <w:pStyle w:val="ListParagraph"/>
        <w:numPr>
          <w:ilvl w:val="0"/>
          <w:numId w:val="45"/>
        </w:numPr>
        <w:spacing w:before="120" w:after="120" w:line="259" w:lineRule="auto"/>
        <w:rPr>
          <w:rFonts w:ascii="Calibri" w:eastAsia="Calibri" w:hAnsi="Calibri" w:cs="Arial"/>
          <w:color w:val="101820"/>
        </w:rPr>
      </w:pPr>
      <w:r w:rsidRPr="00E803DE">
        <w:rPr>
          <w:rFonts w:ascii="Calibri" w:eastAsia="Calibri" w:hAnsi="Calibri" w:cs="Arial"/>
          <w:color w:val="101820"/>
        </w:rPr>
        <w:t>technological innovation and implementation.</w:t>
      </w:r>
    </w:p>
    <w:p w14:paraId="2683B5A5" w14:textId="77777777" w:rsidR="00E803DE" w:rsidRPr="00E803DE" w:rsidRDefault="00E803DE" w:rsidP="00E803DE">
      <w:pPr>
        <w:spacing w:before="120" w:after="120" w:line="259" w:lineRule="auto"/>
        <w:rPr>
          <w:rFonts w:ascii="Calibri" w:eastAsia="Calibri" w:hAnsi="Calibri" w:cs="Arial"/>
          <w:color w:val="101820"/>
          <w:sz w:val="24"/>
          <w:szCs w:val="24"/>
        </w:rPr>
      </w:pPr>
      <w:r w:rsidRPr="00E803DE">
        <w:rPr>
          <w:rFonts w:ascii="Calibri" w:eastAsia="Calibri" w:hAnsi="Calibri" w:cs="Arial"/>
          <w:color w:val="101820"/>
          <w:sz w:val="24"/>
          <w:szCs w:val="24"/>
        </w:rPr>
        <w:t>The OCC will provide periodic updates about supervisory priorities through the Semiannual Risk Perspective in the fall and spring.</w:t>
      </w:r>
    </w:p>
    <w:p w14:paraId="25DC3C81" w14:textId="77777777" w:rsidR="00E803DE" w:rsidRPr="00E803DE" w:rsidRDefault="00E803DE" w:rsidP="00E803DE">
      <w:pPr>
        <w:spacing w:before="120" w:after="120" w:line="259" w:lineRule="auto"/>
        <w:rPr>
          <w:rFonts w:ascii="Calibri" w:eastAsia="Calibri" w:hAnsi="Calibri" w:cs="Arial"/>
          <w:color w:val="101820"/>
          <w:sz w:val="24"/>
          <w:szCs w:val="24"/>
        </w:rPr>
      </w:pPr>
      <w:r w:rsidRPr="00E803DE">
        <w:rPr>
          <w:rFonts w:ascii="Calibri" w:eastAsia="Calibri" w:hAnsi="Calibri" w:cs="Arial"/>
          <w:color w:val="101820"/>
          <w:sz w:val="24"/>
          <w:szCs w:val="24"/>
        </w:rPr>
        <w:t>Related Link</w:t>
      </w:r>
    </w:p>
    <w:p w14:paraId="49F9A1CF" w14:textId="7AD2AAB0" w:rsidR="00E803DE" w:rsidRDefault="00E5154D" w:rsidP="00E803DE">
      <w:pPr>
        <w:spacing w:before="120" w:after="120" w:line="259" w:lineRule="auto"/>
        <w:rPr>
          <w:rFonts w:ascii="Calibri" w:eastAsia="Calibri" w:hAnsi="Calibri" w:cs="Arial"/>
          <w:color w:val="101820"/>
          <w:sz w:val="24"/>
          <w:szCs w:val="24"/>
        </w:rPr>
      </w:pPr>
      <w:hyperlink r:id="rId52" w:history="1">
        <w:r w:rsidR="00E803DE" w:rsidRPr="00E803DE">
          <w:rPr>
            <w:rStyle w:val="Hyperlink"/>
            <w:rFonts w:ascii="Calibri" w:eastAsia="Calibri" w:hAnsi="Calibri" w:cs="Arial"/>
            <w:sz w:val="24"/>
            <w:szCs w:val="24"/>
          </w:rPr>
          <w:t>Fiscal Year 2020 Operating Plan (PDF)</w:t>
        </w:r>
      </w:hyperlink>
    </w:p>
    <w:p w14:paraId="4B1F51B1" w14:textId="55D1D5C3" w:rsidR="0042460B" w:rsidRDefault="0042460B" w:rsidP="00E803DE">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53" w:history="1">
        <w:r w:rsidRPr="00E803DE">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0B8DD409" w14:textId="66F1092B" w:rsidR="0042460B" w:rsidRDefault="0042460B" w:rsidP="0042460B">
      <w:pPr>
        <w:spacing w:before="120" w:after="120" w:line="259" w:lineRule="auto"/>
        <w:rPr>
          <w:rFonts w:eastAsia="Calibri" w:cstheme="minorHAnsi"/>
          <w:b/>
          <w:bCs/>
          <w:i/>
          <w:color w:val="002060"/>
          <w:sz w:val="24"/>
          <w:szCs w:val="24"/>
        </w:rPr>
      </w:pPr>
      <w:r w:rsidRPr="0077105F">
        <w:rPr>
          <w:rFonts w:eastAsia="Calibri" w:cstheme="minorHAnsi"/>
          <w:b/>
          <w:bCs/>
          <w:i/>
          <w:color w:val="002060"/>
          <w:sz w:val="24"/>
          <w:szCs w:val="24"/>
        </w:rPr>
        <w:t xml:space="preserve">Comment: </w:t>
      </w:r>
      <w:r w:rsidR="00FC11BF">
        <w:rPr>
          <w:rFonts w:eastAsia="Calibri" w:cstheme="minorHAnsi"/>
          <w:b/>
          <w:bCs/>
          <w:i/>
          <w:color w:val="002060"/>
          <w:sz w:val="24"/>
          <w:szCs w:val="24"/>
        </w:rPr>
        <w:t>Notice that BSA/AML compliance management remains a priority for the OCC</w:t>
      </w:r>
      <w:r>
        <w:rPr>
          <w:rFonts w:eastAsia="Calibri" w:cstheme="minorHAnsi"/>
          <w:b/>
          <w:bCs/>
          <w:i/>
          <w:color w:val="002060"/>
          <w:sz w:val="24"/>
          <w:szCs w:val="24"/>
        </w:rPr>
        <w:t>.</w:t>
      </w:r>
      <w:r w:rsidR="00FC11BF">
        <w:rPr>
          <w:rFonts w:eastAsia="Calibri" w:cstheme="minorHAnsi"/>
          <w:b/>
          <w:bCs/>
          <w:i/>
          <w:color w:val="002060"/>
          <w:sz w:val="24"/>
          <w:szCs w:val="24"/>
        </w:rPr>
        <w:t xml:space="preserve"> Community banks across the country support reform of the current BSA/AML requirements and reporting thresholds that have not been updated in decades.</w:t>
      </w:r>
      <w:r>
        <w:rPr>
          <w:rFonts w:eastAsia="Calibri" w:cstheme="minorHAnsi"/>
          <w:b/>
          <w:bCs/>
          <w:i/>
          <w:color w:val="002060"/>
          <w:sz w:val="24"/>
          <w:szCs w:val="24"/>
        </w:rPr>
        <w:t xml:space="preserve"> </w:t>
      </w:r>
    </w:p>
    <w:p w14:paraId="5B0C23DA" w14:textId="77777777" w:rsidR="0042460B" w:rsidRDefault="0042460B" w:rsidP="0042460B">
      <w:pPr>
        <w:tabs>
          <w:tab w:val="left" w:pos="7284"/>
        </w:tabs>
        <w:spacing w:before="120" w:after="120" w:line="259" w:lineRule="auto"/>
        <w:rPr>
          <w:rFonts w:eastAsia="Calibri" w:cstheme="minorHAnsi"/>
          <w:b/>
          <w:bCs/>
          <w:i/>
          <w:color w:val="000000" w:themeColor="text1"/>
          <w:sz w:val="24"/>
          <w:szCs w:val="24"/>
        </w:rPr>
      </w:pPr>
    </w:p>
    <w:p w14:paraId="7BC84014" w14:textId="3D88CC81" w:rsidR="0042460B" w:rsidRPr="0077105F" w:rsidRDefault="00E803DE" w:rsidP="0042460B">
      <w:pPr>
        <w:tabs>
          <w:tab w:val="left" w:pos="7284"/>
        </w:tabs>
        <w:spacing w:before="120" w:after="120" w:line="259" w:lineRule="auto"/>
        <w:rPr>
          <w:rFonts w:eastAsia="Calibri" w:cstheme="minorHAnsi"/>
          <w:b/>
          <w:bCs/>
          <w:i/>
          <w:color w:val="000000" w:themeColor="text1"/>
          <w:sz w:val="24"/>
          <w:szCs w:val="24"/>
        </w:rPr>
      </w:pPr>
      <w:r w:rsidRPr="00E803DE">
        <w:rPr>
          <w:rFonts w:eastAsia="Calibri" w:cstheme="minorHAnsi"/>
          <w:b/>
          <w:bCs/>
          <w:i/>
          <w:color w:val="000000" w:themeColor="text1"/>
          <w:sz w:val="24"/>
          <w:szCs w:val="24"/>
        </w:rPr>
        <w:t xml:space="preserve">OCC Reports Slight Improvement in Mortgage Performance </w:t>
      </w:r>
      <w:r w:rsidR="0042460B">
        <w:rPr>
          <w:rFonts w:eastAsia="Calibri" w:cstheme="minorHAnsi"/>
          <w:b/>
          <w:bCs/>
          <w:i/>
          <w:color w:val="000000" w:themeColor="text1"/>
          <w:sz w:val="24"/>
          <w:szCs w:val="24"/>
        </w:rPr>
        <w:t>(</w:t>
      </w:r>
      <w:r>
        <w:rPr>
          <w:rFonts w:eastAsia="Calibri" w:cstheme="minorHAnsi"/>
          <w:b/>
          <w:bCs/>
          <w:i/>
          <w:color w:val="000000" w:themeColor="text1"/>
          <w:sz w:val="24"/>
          <w:szCs w:val="24"/>
        </w:rPr>
        <w:t>09</w:t>
      </w:r>
      <w:r w:rsidR="0042460B">
        <w:rPr>
          <w:rFonts w:eastAsia="Calibri" w:cstheme="minorHAnsi"/>
          <w:b/>
          <w:bCs/>
          <w:i/>
          <w:color w:val="000000" w:themeColor="text1"/>
          <w:sz w:val="24"/>
          <w:szCs w:val="24"/>
        </w:rPr>
        <w:t>.</w:t>
      </w:r>
      <w:r>
        <w:rPr>
          <w:rFonts w:eastAsia="Calibri" w:cstheme="minorHAnsi"/>
          <w:b/>
          <w:bCs/>
          <w:i/>
          <w:color w:val="000000" w:themeColor="text1"/>
          <w:sz w:val="24"/>
          <w:szCs w:val="24"/>
        </w:rPr>
        <w:t>30</w:t>
      </w:r>
      <w:r w:rsidR="0042460B">
        <w:rPr>
          <w:rFonts w:eastAsia="Calibri" w:cstheme="minorHAnsi"/>
          <w:b/>
          <w:bCs/>
          <w:i/>
          <w:color w:val="000000" w:themeColor="text1"/>
          <w:sz w:val="24"/>
          <w:szCs w:val="24"/>
        </w:rPr>
        <w:t>.2019</w:t>
      </w:r>
      <w:r w:rsidR="0042460B" w:rsidRPr="0077105F">
        <w:rPr>
          <w:rFonts w:eastAsia="Calibri" w:cstheme="minorHAnsi"/>
          <w:b/>
          <w:bCs/>
          <w:i/>
          <w:color w:val="000000" w:themeColor="text1"/>
          <w:sz w:val="24"/>
          <w:szCs w:val="24"/>
        </w:rPr>
        <w:t>)</w:t>
      </w:r>
      <w:r w:rsidR="0042460B">
        <w:rPr>
          <w:rFonts w:eastAsia="Calibri" w:cstheme="minorHAnsi"/>
          <w:b/>
          <w:bCs/>
          <w:i/>
          <w:color w:val="000000" w:themeColor="text1"/>
          <w:sz w:val="24"/>
          <w:szCs w:val="24"/>
        </w:rPr>
        <w:t xml:space="preserve"> </w:t>
      </w:r>
    </w:p>
    <w:p w14:paraId="16ED1662" w14:textId="77777777" w:rsidR="00E803DE" w:rsidRPr="00E803DE" w:rsidRDefault="00E803DE" w:rsidP="00E803DE">
      <w:pPr>
        <w:spacing w:before="120" w:after="120" w:line="259" w:lineRule="auto"/>
        <w:rPr>
          <w:rFonts w:ascii="Calibri" w:eastAsia="Calibri" w:hAnsi="Calibri" w:cs="Arial"/>
          <w:color w:val="101820"/>
          <w:sz w:val="24"/>
          <w:szCs w:val="24"/>
        </w:rPr>
      </w:pPr>
      <w:r w:rsidRPr="00E803DE">
        <w:rPr>
          <w:rFonts w:ascii="Calibri" w:eastAsia="Calibri" w:hAnsi="Calibri" w:cs="Arial"/>
          <w:color w:val="101820"/>
          <w:sz w:val="24"/>
          <w:szCs w:val="24"/>
        </w:rPr>
        <w:t>WASHINGTON—The Office of the Comptroller of the Currency (OCC) reported a slight improvement in the performance of first-lien mortgages in the federal banking system during the second quarter of 2019.</w:t>
      </w:r>
    </w:p>
    <w:p w14:paraId="208064E7" w14:textId="77777777" w:rsidR="00E803DE" w:rsidRPr="00E803DE" w:rsidRDefault="00E803DE" w:rsidP="00E803DE">
      <w:pPr>
        <w:spacing w:before="120" w:after="120" w:line="259" w:lineRule="auto"/>
        <w:rPr>
          <w:rFonts w:ascii="Calibri" w:eastAsia="Calibri" w:hAnsi="Calibri" w:cs="Arial"/>
          <w:color w:val="101820"/>
          <w:sz w:val="24"/>
          <w:szCs w:val="24"/>
        </w:rPr>
      </w:pPr>
      <w:r w:rsidRPr="00E803DE">
        <w:rPr>
          <w:rFonts w:ascii="Calibri" w:eastAsia="Calibri" w:hAnsi="Calibri" w:cs="Arial"/>
          <w:color w:val="101820"/>
          <w:sz w:val="24"/>
          <w:szCs w:val="24"/>
        </w:rPr>
        <w:t>The OCC Mortgage Metrics Report, Second Quarter 2019 showed 96.1 percent of mortgages included in the report were current and performing at the end of the quarter, compared to 95.6 percent a year earlier.</w:t>
      </w:r>
    </w:p>
    <w:p w14:paraId="78ABA757" w14:textId="77777777" w:rsidR="00E803DE" w:rsidRPr="00E803DE" w:rsidRDefault="00E803DE" w:rsidP="00E803DE">
      <w:pPr>
        <w:spacing w:before="120" w:after="120" w:line="259" w:lineRule="auto"/>
        <w:rPr>
          <w:rFonts w:ascii="Calibri" w:eastAsia="Calibri" w:hAnsi="Calibri" w:cs="Arial"/>
          <w:color w:val="101820"/>
          <w:sz w:val="24"/>
          <w:szCs w:val="24"/>
        </w:rPr>
      </w:pPr>
      <w:r w:rsidRPr="00E803DE">
        <w:rPr>
          <w:rFonts w:ascii="Calibri" w:eastAsia="Calibri" w:hAnsi="Calibri" w:cs="Arial"/>
          <w:color w:val="101820"/>
          <w:sz w:val="24"/>
          <w:szCs w:val="24"/>
        </w:rPr>
        <w:t>The report also showed that servicers initiated 21,409 new foreclosures during the second quarter of 2019­, a 22.5 percent decrease from the previous quarter and a 27.7 percent decrease from a year ago. Servicers completed 15,683 mortgage modifications in the second quarter of 2019, and 71.7 percent of the modifications reduced borrowers’ monthly payments.</w:t>
      </w:r>
    </w:p>
    <w:p w14:paraId="6C3FA200" w14:textId="77777777" w:rsidR="00E803DE" w:rsidRPr="00E803DE" w:rsidRDefault="00E803DE" w:rsidP="00E803DE">
      <w:pPr>
        <w:spacing w:before="120" w:after="120" w:line="259" w:lineRule="auto"/>
        <w:rPr>
          <w:rFonts w:ascii="Calibri" w:eastAsia="Calibri" w:hAnsi="Calibri" w:cs="Arial"/>
          <w:color w:val="101820"/>
          <w:sz w:val="24"/>
          <w:szCs w:val="24"/>
        </w:rPr>
      </w:pPr>
      <w:r w:rsidRPr="00E803DE">
        <w:rPr>
          <w:rFonts w:ascii="Calibri" w:eastAsia="Calibri" w:hAnsi="Calibri" w:cs="Arial"/>
          <w:color w:val="101820"/>
          <w:sz w:val="24"/>
          <w:szCs w:val="24"/>
        </w:rPr>
        <w:t>The first-lien mortgages included in the OCC’s quarterly report comprise 30 percent of all residential mortgages outstanding in the United States or approximately 16.3 million loans totaling $3.15 trillion in principal balances. This report provides information on mortgage performance through June 30, 2019, and it can be downloaded from the OCC’s website, www.occ.gov.</w:t>
      </w:r>
    </w:p>
    <w:p w14:paraId="6036BB55" w14:textId="77777777" w:rsidR="00E803DE" w:rsidRPr="00E803DE" w:rsidRDefault="00E803DE" w:rsidP="00E803DE">
      <w:pPr>
        <w:spacing w:before="120" w:after="120" w:line="259" w:lineRule="auto"/>
        <w:rPr>
          <w:rFonts w:ascii="Calibri" w:eastAsia="Calibri" w:hAnsi="Calibri" w:cs="Arial"/>
          <w:color w:val="101820"/>
          <w:sz w:val="24"/>
          <w:szCs w:val="24"/>
        </w:rPr>
      </w:pPr>
      <w:r w:rsidRPr="00E803DE">
        <w:rPr>
          <w:rFonts w:ascii="Calibri" w:eastAsia="Calibri" w:hAnsi="Calibri" w:cs="Arial"/>
          <w:color w:val="101820"/>
          <w:sz w:val="24"/>
          <w:szCs w:val="24"/>
        </w:rPr>
        <w:t>Related Link</w:t>
      </w:r>
    </w:p>
    <w:p w14:paraId="7A0974F7" w14:textId="2EBF5308" w:rsidR="00E803DE" w:rsidRDefault="00E5154D" w:rsidP="00E803DE">
      <w:pPr>
        <w:spacing w:before="120" w:after="120" w:line="259" w:lineRule="auto"/>
        <w:rPr>
          <w:rFonts w:ascii="Calibri" w:eastAsia="Calibri" w:hAnsi="Calibri" w:cs="Arial"/>
          <w:color w:val="101820"/>
          <w:sz w:val="24"/>
          <w:szCs w:val="24"/>
        </w:rPr>
      </w:pPr>
      <w:hyperlink r:id="rId54" w:history="1">
        <w:r w:rsidR="00E803DE" w:rsidRPr="00E803DE">
          <w:rPr>
            <w:rStyle w:val="Hyperlink"/>
            <w:rFonts w:ascii="Calibri" w:eastAsia="Calibri" w:hAnsi="Calibri" w:cs="Arial"/>
            <w:sz w:val="24"/>
            <w:szCs w:val="24"/>
          </w:rPr>
          <w:t>OCC Mortgage Metrics Report, Second Quarter 2019</w:t>
        </w:r>
      </w:hyperlink>
    </w:p>
    <w:p w14:paraId="14EFAB0A" w14:textId="5C73BCA0" w:rsidR="0042460B" w:rsidRDefault="0042460B" w:rsidP="00E803DE">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55" w:history="1">
        <w:r w:rsidRPr="00E803DE">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505B21C6" w14:textId="5C13D67E" w:rsidR="00F71CF0" w:rsidRDefault="00F71CF0" w:rsidP="000C5BB7">
      <w:pPr>
        <w:spacing w:before="120" w:after="120" w:line="259" w:lineRule="auto"/>
        <w:jc w:val="center"/>
        <w:rPr>
          <w:rFonts w:eastAsia="Calibri" w:cstheme="minorHAnsi"/>
          <w:b/>
          <w:bCs/>
          <w:i/>
          <w:color w:val="002060"/>
          <w:sz w:val="24"/>
          <w:szCs w:val="24"/>
        </w:rPr>
      </w:pPr>
      <w:r>
        <w:rPr>
          <w:noProof/>
        </w:rPr>
        <w:drawing>
          <wp:inline distT="0" distB="0" distL="0" distR="0" wp14:anchorId="2369397D" wp14:editId="5B5A321A">
            <wp:extent cx="6858000" cy="354774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6858000" cy="3547745"/>
                    </a:xfrm>
                    <a:prstGeom prst="rect">
                      <a:avLst/>
                    </a:prstGeom>
                    <a:noFill/>
                    <a:ln>
                      <a:noFill/>
                    </a:ln>
                  </pic:spPr>
                </pic:pic>
              </a:graphicData>
            </a:graphic>
          </wp:inline>
        </w:drawing>
      </w:r>
    </w:p>
    <w:p w14:paraId="62870D9B" w14:textId="5B84B0B7" w:rsidR="004B5502" w:rsidRPr="00115E2B" w:rsidRDefault="00063F3D" w:rsidP="00115E2B">
      <w:pPr>
        <w:pStyle w:val="CCTOCHeading"/>
        <w:spacing w:line="259" w:lineRule="auto"/>
        <w:rPr>
          <w:rFonts w:cstheme="minorHAnsi"/>
        </w:rPr>
      </w:pPr>
      <w:bookmarkStart w:id="42" w:name="_Toc22799377"/>
      <w:r>
        <w:rPr>
          <w:rFonts w:cstheme="minorHAnsi"/>
        </w:rPr>
        <w:t>Federal Reserve actions</w:t>
      </w:r>
      <w:r w:rsidRPr="000C7C83">
        <w:rPr>
          <w:rFonts w:cstheme="minorHAnsi"/>
        </w:rPr>
        <w:t xml:space="preserve"> </w:t>
      </w:r>
      <w:bookmarkStart w:id="43" w:name="_Hlk509301082"/>
      <w:r w:rsidRPr="000C7C83">
        <w:rPr>
          <w:rFonts w:cstheme="minorHAnsi"/>
        </w:rPr>
        <w:t>and news</w:t>
      </w:r>
      <w:bookmarkStart w:id="44" w:name="_Hlk514920407"/>
      <w:bookmarkEnd w:id="38"/>
      <w:bookmarkEnd w:id="42"/>
      <w:bookmarkEnd w:id="43"/>
    </w:p>
    <w:p w14:paraId="5DFD1790" w14:textId="77777777" w:rsidR="006C2905" w:rsidRPr="0077105F" w:rsidRDefault="006C2905" w:rsidP="006C2905">
      <w:pPr>
        <w:tabs>
          <w:tab w:val="left" w:pos="7284"/>
        </w:tabs>
        <w:spacing w:before="120" w:after="120" w:line="259" w:lineRule="auto"/>
        <w:rPr>
          <w:rFonts w:eastAsia="Calibri" w:cstheme="minorHAnsi"/>
          <w:b/>
          <w:bCs/>
          <w:i/>
          <w:color w:val="000000" w:themeColor="text1"/>
          <w:sz w:val="24"/>
          <w:szCs w:val="24"/>
        </w:rPr>
      </w:pPr>
      <w:r>
        <w:rPr>
          <w:rFonts w:eastAsia="Calibri" w:cstheme="minorHAnsi"/>
          <w:b/>
          <w:bCs/>
          <w:i/>
          <w:color w:val="000000" w:themeColor="text1"/>
          <w:sz w:val="24"/>
          <w:szCs w:val="24"/>
        </w:rPr>
        <w:t>Beige Book</w:t>
      </w:r>
      <w:r w:rsidRPr="00AF6C8E">
        <w:rPr>
          <w:rFonts w:eastAsia="Calibri" w:cstheme="minorHAnsi"/>
          <w:b/>
          <w:bCs/>
          <w:i/>
          <w:color w:val="000000" w:themeColor="text1"/>
          <w:sz w:val="24"/>
          <w:szCs w:val="24"/>
        </w:rPr>
        <w:t xml:space="preserve"> </w:t>
      </w:r>
      <w:r>
        <w:rPr>
          <w:rFonts w:eastAsia="Calibri" w:cstheme="minorHAnsi"/>
          <w:b/>
          <w:bCs/>
          <w:i/>
          <w:color w:val="000000" w:themeColor="text1"/>
          <w:sz w:val="24"/>
          <w:szCs w:val="24"/>
        </w:rPr>
        <w:t>(10.16.2019</w:t>
      </w:r>
      <w:r w:rsidRPr="0077105F">
        <w:rPr>
          <w:rFonts w:eastAsia="Calibri" w:cstheme="minorHAnsi"/>
          <w:b/>
          <w:bCs/>
          <w:i/>
          <w:color w:val="000000" w:themeColor="text1"/>
          <w:sz w:val="24"/>
          <w:szCs w:val="24"/>
        </w:rPr>
        <w:t>)</w:t>
      </w:r>
      <w:r>
        <w:rPr>
          <w:rFonts w:eastAsia="Calibri" w:cstheme="minorHAnsi"/>
          <w:b/>
          <w:bCs/>
          <w:i/>
          <w:color w:val="000000" w:themeColor="text1"/>
          <w:sz w:val="24"/>
          <w:szCs w:val="24"/>
        </w:rPr>
        <w:t xml:space="preserve"> </w:t>
      </w:r>
    </w:p>
    <w:p w14:paraId="517DE446" w14:textId="77777777" w:rsidR="006C2905" w:rsidRPr="00E22FD0" w:rsidRDefault="006C2905" w:rsidP="006C2905">
      <w:pPr>
        <w:spacing w:before="120" w:after="120" w:line="259" w:lineRule="auto"/>
        <w:rPr>
          <w:rFonts w:eastAsia="Calibri" w:cstheme="minorHAnsi"/>
          <w:b/>
          <w:bCs/>
          <w:color w:val="000000" w:themeColor="text1"/>
          <w:sz w:val="24"/>
          <w:szCs w:val="24"/>
        </w:rPr>
      </w:pPr>
      <w:r w:rsidRPr="00E22FD0">
        <w:rPr>
          <w:rFonts w:eastAsia="Calibri" w:cstheme="minorHAnsi"/>
          <w:b/>
          <w:bCs/>
          <w:color w:val="000000" w:themeColor="text1"/>
          <w:sz w:val="24"/>
          <w:szCs w:val="24"/>
        </w:rPr>
        <w:t xml:space="preserve">Overall Economic Activity </w:t>
      </w:r>
    </w:p>
    <w:p w14:paraId="65AB4006" w14:textId="77777777" w:rsidR="006C2905" w:rsidRDefault="006C2905" w:rsidP="006C2905">
      <w:pPr>
        <w:spacing w:before="120" w:after="120" w:line="259" w:lineRule="auto"/>
        <w:rPr>
          <w:rFonts w:eastAsia="Calibri" w:cstheme="minorHAnsi"/>
          <w:color w:val="000000" w:themeColor="text1"/>
          <w:sz w:val="24"/>
          <w:szCs w:val="24"/>
        </w:rPr>
      </w:pPr>
      <w:r w:rsidRPr="00E22FD0">
        <w:rPr>
          <w:rFonts w:eastAsia="Calibri" w:cstheme="minorHAnsi"/>
          <w:color w:val="000000" w:themeColor="text1"/>
          <w:sz w:val="24"/>
          <w:szCs w:val="24"/>
        </w:rPr>
        <w:lastRenderedPageBreak/>
        <w:t xml:space="preserve">The U.S. economy expanded at a slight to modest pace since the prior report as business activity varied across the country. Reports from Districts representing states in the southern and western U.S. generally were more upbeat than Districts representing the Midwest and Great Plains. Household spending was solid on balance: nonauto retail sales increased modestly, while light vehicle sales were generally robust. Tourism and travel-related spending was up modestly. Housing market conditions changed little. On the business spending side, nonresidential construction increased at a slightly slower yet still modest pace, while leasing activity advanced at a slow but steady rate. Manufacturing activity continued to edge lower. Contacts in some Districts suggested that persistent trade tensions and slower global growth weighed on activity. The early impact of a recent auto strike was limited. Freight shipments stabilized after falling during the previous reporting period. Bankers in many Districts reported moderately rising loan volumes, while activity in nonfinancial services increased solidly. Agricultural conditions deteriorated further due to the ongoing impacts of adverse weather, weak commodity prices, and trade disruptions. Business contacts mostly expect the economic expansion to continue; however, many lowered their outlooks for growth in the coming 6 to 12 months. </w:t>
      </w:r>
    </w:p>
    <w:p w14:paraId="7BD70AC3" w14:textId="77777777" w:rsidR="006C2905" w:rsidRPr="00E22FD0" w:rsidRDefault="006C2905" w:rsidP="006C2905">
      <w:pPr>
        <w:spacing w:before="120" w:after="120" w:line="259" w:lineRule="auto"/>
        <w:rPr>
          <w:rFonts w:eastAsia="Calibri" w:cstheme="minorHAnsi"/>
          <w:b/>
          <w:bCs/>
          <w:color w:val="000000" w:themeColor="text1"/>
          <w:sz w:val="24"/>
          <w:szCs w:val="24"/>
        </w:rPr>
      </w:pPr>
      <w:r w:rsidRPr="00E22FD0">
        <w:rPr>
          <w:rFonts w:eastAsia="Calibri" w:cstheme="minorHAnsi"/>
          <w:b/>
          <w:bCs/>
          <w:color w:val="000000" w:themeColor="text1"/>
          <w:sz w:val="24"/>
          <w:szCs w:val="24"/>
        </w:rPr>
        <w:t xml:space="preserve">Employment and Wages </w:t>
      </w:r>
    </w:p>
    <w:p w14:paraId="03C4C445" w14:textId="77777777" w:rsidR="006C2905" w:rsidRDefault="006C2905" w:rsidP="006C2905">
      <w:pPr>
        <w:spacing w:before="120" w:after="120" w:line="259" w:lineRule="auto"/>
        <w:rPr>
          <w:rFonts w:eastAsia="Calibri" w:cstheme="minorHAnsi"/>
          <w:color w:val="000000" w:themeColor="text1"/>
          <w:sz w:val="24"/>
          <w:szCs w:val="24"/>
        </w:rPr>
      </w:pPr>
      <w:r w:rsidRPr="00E22FD0">
        <w:rPr>
          <w:rFonts w:eastAsia="Calibri" w:cstheme="minorHAnsi"/>
          <w:color w:val="000000" w:themeColor="text1"/>
          <w:sz w:val="24"/>
          <w:szCs w:val="24"/>
        </w:rPr>
        <w:t xml:space="preserve">On balance, employment rose slightly amid reports of persistent worker shortages. Labor market tightness across skill levels and occupations was widely cited as a factor restraining hiring. Districts often reported relatively stronger demand for workers in the professional services and information technology industries. By contrast, hiring in freight and manufacturing was weak. </w:t>
      </w:r>
      <w:proofErr w:type="gramStart"/>
      <w:r w:rsidRPr="00E22FD0">
        <w:rPr>
          <w:rFonts w:eastAsia="Calibri" w:cstheme="minorHAnsi"/>
          <w:color w:val="000000" w:themeColor="text1"/>
          <w:sz w:val="24"/>
          <w:szCs w:val="24"/>
        </w:rPr>
        <w:t>A number of</w:t>
      </w:r>
      <w:proofErr w:type="gramEnd"/>
      <w:r w:rsidRPr="00E22FD0">
        <w:rPr>
          <w:rFonts w:eastAsia="Calibri" w:cstheme="minorHAnsi"/>
          <w:color w:val="000000" w:themeColor="text1"/>
          <w:sz w:val="24"/>
          <w:szCs w:val="24"/>
        </w:rPr>
        <w:t xml:space="preserve"> Districts reported that manufacturers reduced their headcounts because orders were soft. However, some firms were more concerned about the longer-term availability of workers and subsequently chose to reduce hours rather than staff levels. Wages rose moderately in most Districts, with upward pressure noted for lower-skill workers in the retail and hospitality industries and for higher-skill professional and technical workers. </w:t>
      </w:r>
      <w:proofErr w:type="gramStart"/>
      <w:r w:rsidRPr="00E22FD0">
        <w:rPr>
          <w:rFonts w:eastAsia="Calibri" w:cstheme="minorHAnsi"/>
          <w:color w:val="000000" w:themeColor="text1"/>
          <w:sz w:val="24"/>
          <w:szCs w:val="24"/>
        </w:rPr>
        <w:t>A number of</w:t>
      </w:r>
      <w:proofErr w:type="gramEnd"/>
      <w:r w:rsidRPr="00E22FD0">
        <w:rPr>
          <w:rFonts w:eastAsia="Calibri" w:cstheme="minorHAnsi"/>
          <w:color w:val="000000" w:themeColor="text1"/>
          <w:sz w:val="24"/>
          <w:szCs w:val="24"/>
        </w:rPr>
        <w:t xml:space="preserve"> smaller firms reported difficulty matching pay offers from larger firms. Broadly, employers continued to use nonwage approaches such as bonuses and benefits to attract and retain talent. </w:t>
      </w:r>
    </w:p>
    <w:p w14:paraId="2EAA2E0F" w14:textId="77777777" w:rsidR="006C2905" w:rsidRPr="00E22FD0" w:rsidRDefault="006C2905" w:rsidP="006C2905">
      <w:pPr>
        <w:spacing w:before="120" w:after="120" w:line="259" w:lineRule="auto"/>
        <w:rPr>
          <w:rFonts w:eastAsia="Calibri" w:cstheme="minorHAnsi"/>
          <w:b/>
          <w:bCs/>
          <w:color w:val="000000" w:themeColor="text1"/>
          <w:sz w:val="24"/>
          <w:szCs w:val="24"/>
        </w:rPr>
      </w:pPr>
      <w:r w:rsidRPr="00E22FD0">
        <w:rPr>
          <w:rFonts w:eastAsia="Calibri" w:cstheme="minorHAnsi"/>
          <w:b/>
          <w:bCs/>
          <w:color w:val="000000" w:themeColor="text1"/>
          <w:sz w:val="24"/>
          <w:szCs w:val="24"/>
        </w:rPr>
        <w:t xml:space="preserve">Prices </w:t>
      </w:r>
    </w:p>
    <w:p w14:paraId="51B5C89E" w14:textId="77777777" w:rsidR="006C2905" w:rsidRPr="00E22FD0" w:rsidRDefault="006C2905" w:rsidP="006C2905">
      <w:pPr>
        <w:spacing w:before="120" w:after="120" w:line="259" w:lineRule="auto"/>
        <w:rPr>
          <w:rFonts w:eastAsia="Calibri" w:cstheme="minorHAnsi"/>
          <w:color w:val="000000" w:themeColor="text1"/>
          <w:sz w:val="24"/>
          <w:szCs w:val="24"/>
        </w:rPr>
      </w:pPr>
      <w:r w:rsidRPr="00E22FD0">
        <w:rPr>
          <w:rFonts w:eastAsia="Calibri" w:cstheme="minorHAnsi"/>
          <w:color w:val="000000" w:themeColor="text1"/>
          <w:sz w:val="24"/>
          <w:szCs w:val="24"/>
        </w:rPr>
        <w:t>Most Districts characterized the recent pace of price increases as modest. Both retailers and manufacturers noted rising input costs, often for items subject to new tariffs, but retailers had relatively more success passing through these cost increases to their customers. Despite a recent increase in fuel costs, some reports suggested that shipping rates remained lower than they were earlier this year because of excess capacity in the industry.</w:t>
      </w:r>
    </w:p>
    <w:p w14:paraId="45DE4711" w14:textId="77777777" w:rsidR="006C2905" w:rsidRDefault="006C2905" w:rsidP="006C2905">
      <w:pPr>
        <w:spacing w:before="120" w:after="120" w:line="259" w:lineRule="auto"/>
        <w:rPr>
          <w:rFonts w:eastAsia="Calibri" w:cstheme="minorHAnsi"/>
          <w:b/>
          <w:bCs/>
          <w:color w:val="000000" w:themeColor="text1"/>
          <w:sz w:val="24"/>
          <w:szCs w:val="24"/>
        </w:rPr>
      </w:pPr>
      <w:r w:rsidRPr="00FD14B8">
        <w:rPr>
          <w:rFonts w:eastAsia="Calibri" w:cstheme="minorHAnsi"/>
          <w:b/>
          <w:bCs/>
          <w:color w:val="000000" w:themeColor="text1"/>
          <w:sz w:val="24"/>
          <w:szCs w:val="24"/>
        </w:rPr>
        <w:t>Highlights by Federal Reserve District</w:t>
      </w:r>
    </w:p>
    <w:p w14:paraId="7B591FB4" w14:textId="77777777" w:rsidR="006C2905" w:rsidRDefault="006C2905" w:rsidP="006C2905">
      <w:pPr>
        <w:spacing w:before="120" w:after="120" w:line="259" w:lineRule="auto"/>
        <w:rPr>
          <w:rFonts w:eastAsia="Calibri" w:cstheme="minorHAnsi"/>
          <w:b/>
          <w:bCs/>
          <w:color w:val="000000" w:themeColor="text1"/>
          <w:sz w:val="24"/>
          <w:szCs w:val="24"/>
        </w:rPr>
      </w:pPr>
      <w:r w:rsidRPr="00E22FD0">
        <w:rPr>
          <w:rFonts w:eastAsia="Calibri" w:cstheme="minorHAnsi"/>
          <w:b/>
          <w:bCs/>
          <w:color w:val="000000" w:themeColor="text1"/>
          <w:sz w:val="24"/>
          <w:szCs w:val="24"/>
        </w:rPr>
        <w:t xml:space="preserve">Dallas </w:t>
      </w:r>
    </w:p>
    <w:p w14:paraId="25223600" w14:textId="77777777" w:rsidR="006C2905" w:rsidRPr="00E22FD0" w:rsidRDefault="006C2905" w:rsidP="006C2905">
      <w:pPr>
        <w:spacing w:before="120" w:after="120" w:line="259" w:lineRule="auto"/>
        <w:rPr>
          <w:rFonts w:eastAsia="Calibri" w:cstheme="minorHAnsi"/>
          <w:color w:val="000000" w:themeColor="text1"/>
          <w:sz w:val="24"/>
          <w:szCs w:val="24"/>
        </w:rPr>
      </w:pPr>
      <w:r w:rsidRPr="00E22FD0">
        <w:rPr>
          <w:rFonts w:eastAsia="Calibri" w:cstheme="minorHAnsi"/>
          <w:color w:val="000000" w:themeColor="text1"/>
          <w:sz w:val="24"/>
          <w:szCs w:val="24"/>
        </w:rPr>
        <w:t xml:space="preserve">Economic activity continued to expand moderately. Energy activity declined, but growth remained solid in manufacturing and services. Home sales increased and loan demand accelerated. Selling prices were largely flat, as firms’ ability to pass through cost increases remained limited. Hiring continued at a steady pace. Outlooks were mixed and uncertainty remained elevated. </w:t>
      </w:r>
    </w:p>
    <w:p w14:paraId="2C7E7059" w14:textId="77777777" w:rsidR="006C2905" w:rsidRDefault="006C2905" w:rsidP="006C2905">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57" w:history="1">
        <w:r w:rsidRPr="00FD14B8">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2700916C" w14:textId="77777777" w:rsidR="00063F3D" w:rsidRPr="00436AD8" w:rsidRDefault="00063F3D" w:rsidP="00063F3D">
      <w:pPr>
        <w:pStyle w:val="CCTOCHeading"/>
        <w:spacing w:line="259" w:lineRule="auto"/>
        <w:rPr>
          <w:rFonts w:asciiTheme="minorHAnsi" w:hAnsiTheme="minorHAnsi" w:cstheme="minorHAnsi"/>
        </w:rPr>
      </w:pPr>
      <w:bookmarkStart w:id="45" w:name="_Toc22799378"/>
      <w:r w:rsidRPr="00436AD8">
        <w:rPr>
          <w:rFonts w:asciiTheme="minorHAnsi" w:hAnsiTheme="minorHAnsi" w:cstheme="minorHAnsi"/>
        </w:rPr>
        <w:t>Other federal action and news</w:t>
      </w:r>
      <w:bookmarkEnd w:id="39"/>
      <w:bookmarkEnd w:id="40"/>
      <w:bookmarkEnd w:id="45"/>
    </w:p>
    <w:p w14:paraId="51EB0EE0" w14:textId="5C7CEE59" w:rsidR="00963ED6" w:rsidRPr="0077105F" w:rsidRDefault="00963ED6" w:rsidP="00963ED6">
      <w:pPr>
        <w:tabs>
          <w:tab w:val="left" w:pos="7284"/>
        </w:tabs>
        <w:spacing w:before="120" w:after="120" w:line="259" w:lineRule="auto"/>
        <w:rPr>
          <w:rFonts w:eastAsia="Calibri" w:cstheme="minorHAnsi"/>
          <w:b/>
          <w:bCs/>
          <w:i/>
          <w:color w:val="000000" w:themeColor="text1"/>
          <w:sz w:val="24"/>
          <w:szCs w:val="24"/>
        </w:rPr>
      </w:pPr>
      <w:bookmarkStart w:id="46" w:name="_Toc504138797"/>
      <w:bookmarkStart w:id="47" w:name="_Hlk514920418"/>
      <w:bookmarkEnd w:id="41"/>
      <w:bookmarkEnd w:id="44"/>
      <w:r w:rsidRPr="00963ED6">
        <w:rPr>
          <w:rFonts w:eastAsia="Calibri" w:cstheme="minorHAnsi"/>
          <w:b/>
          <w:bCs/>
          <w:i/>
          <w:color w:val="000000" w:themeColor="text1"/>
          <w:sz w:val="24"/>
          <w:szCs w:val="24"/>
        </w:rPr>
        <w:t>FTC Joins Charity Regulators Around the Nation, World to Raise Awareness of Charity Fraud</w:t>
      </w:r>
      <w:r>
        <w:rPr>
          <w:rFonts w:eastAsia="Calibri" w:cstheme="minorHAnsi"/>
          <w:b/>
          <w:bCs/>
          <w:i/>
          <w:color w:val="000000" w:themeColor="text1"/>
          <w:sz w:val="24"/>
          <w:szCs w:val="24"/>
        </w:rPr>
        <w:t xml:space="preserve"> (10.21.2019</w:t>
      </w:r>
      <w:r w:rsidRPr="0077105F">
        <w:rPr>
          <w:rFonts w:eastAsia="Calibri" w:cstheme="minorHAnsi"/>
          <w:b/>
          <w:bCs/>
          <w:i/>
          <w:color w:val="000000" w:themeColor="text1"/>
          <w:sz w:val="24"/>
          <w:szCs w:val="24"/>
        </w:rPr>
        <w:t>)</w:t>
      </w:r>
      <w:r>
        <w:rPr>
          <w:rFonts w:eastAsia="Calibri" w:cstheme="minorHAnsi"/>
          <w:b/>
          <w:bCs/>
          <w:i/>
          <w:color w:val="000000" w:themeColor="text1"/>
          <w:sz w:val="24"/>
          <w:szCs w:val="24"/>
        </w:rPr>
        <w:t xml:space="preserve"> </w:t>
      </w:r>
    </w:p>
    <w:p w14:paraId="4DD1DDF3" w14:textId="77777777" w:rsidR="00963ED6" w:rsidRPr="00963ED6" w:rsidRDefault="00963ED6" w:rsidP="00963ED6">
      <w:pPr>
        <w:spacing w:before="120" w:after="120" w:line="259" w:lineRule="auto"/>
        <w:rPr>
          <w:rFonts w:ascii="Calibri" w:eastAsia="Calibri" w:hAnsi="Calibri" w:cs="Arial"/>
          <w:color w:val="101820"/>
          <w:sz w:val="24"/>
          <w:szCs w:val="24"/>
        </w:rPr>
      </w:pPr>
      <w:r w:rsidRPr="00963ED6">
        <w:rPr>
          <w:rFonts w:ascii="Calibri" w:eastAsia="Calibri" w:hAnsi="Calibri" w:cs="Arial"/>
          <w:color w:val="101820"/>
          <w:sz w:val="24"/>
          <w:szCs w:val="24"/>
        </w:rPr>
        <w:lastRenderedPageBreak/>
        <w:t>The Federal Trade Commission, the National Association of State Charities Officials, and state charities regulators across the country are joining with partners around the globe for this year’s International Charity Fraud Awareness Week (ICFAW), taking place Oct. 21-25, 2019.</w:t>
      </w:r>
    </w:p>
    <w:p w14:paraId="3A62F989" w14:textId="77777777" w:rsidR="00963ED6" w:rsidRPr="00963ED6" w:rsidRDefault="00963ED6" w:rsidP="00963ED6">
      <w:pPr>
        <w:spacing w:before="120" w:after="120" w:line="259" w:lineRule="auto"/>
        <w:rPr>
          <w:rFonts w:ascii="Calibri" w:eastAsia="Calibri" w:hAnsi="Calibri" w:cs="Arial"/>
          <w:color w:val="101820"/>
          <w:sz w:val="24"/>
          <w:szCs w:val="24"/>
        </w:rPr>
      </w:pPr>
      <w:r w:rsidRPr="00963ED6">
        <w:rPr>
          <w:rFonts w:ascii="Calibri" w:eastAsia="Calibri" w:hAnsi="Calibri" w:cs="Arial"/>
          <w:color w:val="101820"/>
          <w:sz w:val="24"/>
          <w:szCs w:val="24"/>
        </w:rPr>
        <w:t>ICFAW is a coordinated international campaign to help charities and consumers avoid charity fraud and promote wise giving. This is the second year of participation from U.S. agencies, and consumers can follow the week’s events at #</w:t>
      </w:r>
      <w:proofErr w:type="spellStart"/>
      <w:r w:rsidRPr="00963ED6">
        <w:rPr>
          <w:rFonts w:ascii="Calibri" w:eastAsia="Calibri" w:hAnsi="Calibri" w:cs="Arial"/>
          <w:color w:val="101820"/>
          <w:sz w:val="24"/>
          <w:szCs w:val="24"/>
        </w:rPr>
        <w:t>CharityFraudOut</w:t>
      </w:r>
      <w:proofErr w:type="spellEnd"/>
      <w:r w:rsidRPr="00963ED6">
        <w:rPr>
          <w:rFonts w:ascii="Calibri" w:eastAsia="Calibri" w:hAnsi="Calibri" w:cs="Arial"/>
          <w:color w:val="101820"/>
          <w:sz w:val="24"/>
          <w:szCs w:val="24"/>
        </w:rPr>
        <w:t>.</w:t>
      </w:r>
    </w:p>
    <w:p w14:paraId="194C4655" w14:textId="77777777" w:rsidR="00963ED6" w:rsidRPr="00963ED6" w:rsidRDefault="00963ED6" w:rsidP="00963ED6">
      <w:pPr>
        <w:spacing w:before="120" w:after="120" w:line="259" w:lineRule="auto"/>
        <w:rPr>
          <w:rFonts w:ascii="Calibri" w:eastAsia="Calibri" w:hAnsi="Calibri" w:cs="Arial"/>
          <w:color w:val="101820"/>
          <w:sz w:val="24"/>
          <w:szCs w:val="24"/>
        </w:rPr>
      </w:pPr>
      <w:r w:rsidRPr="00963ED6">
        <w:rPr>
          <w:rFonts w:ascii="Calibri" w:eastAsia="Calibri" w:hAnsi="Calibri" w:cs="Arial"/>
          <w:color w:val="101820"/>
          <w:sz w:val="24"/>
          <w:szCs w:val="24"/>
        </w:rPr>
        <w:t>In addition to the U.S. participants in ICFAW, the Charities Commission for England &amp; Wales, Australian Charities and Not-for-profits Commission, Charity Commission for Northern Ireland, New Zealand Charities Service, and Office of the Scottish Regulator are also joining the international outreach effort. Key non-governmental participants include Chartered Accountants Worldwide, the UK’s Fraud Advisory Panel, and international charities Oxfam, British Council, and Amnesty International.</w:t>
      </w:r>
    </w:p>
    <w:p w14:paraId="21F9212F" w14:textId="77777777" w:rsidR="00963ED6" w:rsidRPr="00963ED6" w:rsidRDefault="00963ED6" w:rsidP="00963ED6">
      <w:pPr>
        <w:spacing w:before="120" w:after="120" w:line="259" w:lineRule="auto"/>
        <w:rPr>
          <w:rFonts w:ascii="Calibri" w:eastAsia="Calibri" w:hAnsi="Calibri" w:cs="Arial"/>
          <w:color w:val="101820"/>
          <w:sz w:val="24"/>
          <w:szCs w:val="24"/>
        </w:rPr>
      </w:pPr>
      <w:r w:rsidRPr="00963ED6">
        <w:rPr>
          <w:rFonts w:ascii="Calibri" w:eastAsia="Calibri" w:hAnsi="Calibri" w:cs="Arial"/>
          <w:color w:val="101820"/>
          <w:sz w:val="24"/>
          <w:szCs w:val="24"/>
        </w:rPr>
        <w:t>“Generosity is part of the American spirit, and millions of consumers show that generosity every year through charitable giving,” said FTC Chairman Joe Simons. “Unfortunately, bad actors take advantage of that generosity, which is why it’s important to raise awareness about charity fraud. We empower consumers with tools that help ensure their money ends up where intended. We’re proud to join with our partners in the U.S. and around the world in this effort.”</w:t>
      </w:r>
    </w:p>
    <w:p w14:paraId="187CC1C5" w14:textId="77777777" w:rsidR="00963ED6" w:rsidRPr="00963ED6" w:rsidRDefault="00963ED6" w:rsidP="00963ED6">
      <w:pPr>
        <w:spacing w:before="120" w:after="120" w:line="259" w:lineRule="auto"/>
        <w:rPr>
          <w:rFonts w:ascii="Calibri" w:eastAsia="Calibri" w:hAnsi="Calibri" w:cs="Arial"/>
          <w:color w:val="101820"/>
          <w:sz w:val="24"/>
          <w:szCs w:val="24"/>
        </w:rPr>
      </w:pPr>
      <w:r w:rsidRPr="00963ED6">
        <w:rPr>
          <w:rFonts w:ascii="Calibri" w:eastAsia="Calibri" w:hAnsi="Calibri" w:cs="Arial"/>
          <w:color w:val="101820"/>
          <w:sz w:val="24"/>
          <w:szCs w:val="24"/>
        </w:rPr>
        <w:t>The FTC has created a video called “Make Your Donations Count” that highlights the importance of researching charities to avoid donating to a scam, provides tips people can follow to verify the charity before they donate, and directs people to visit FTC.gov/Charity for more information.</w:t>
      </w:r>
    </w:p>
    <w:p w14:paraId="109F3D6E" w14:textId="77777777" w:rsidR="00963ED6" w:rsidRPr="002435AB" w:rsidRDefault="00963ED6" w:rsidP="00963ED6">
      <w:pPr>
        <w:spacing w:before="120" w:after="120" w:line="259" w:lineRule="auto"/>
        <w:rPr>
          <w:rFonts w:ascii="Calibri" w:eastAsia="Calibri" w:hAnsi="Calibri" w:cs="Arial"/>
          <w:color w:val="101820"/>
          <w:sz w:val="24"/>
          <w:szCs w:val="24"/>
          <w:u w:val="single"/>
        </w:rPr>
      </w:pPr>
      <w:r w:rsidRPr="002435AB">
        <w:rPr>
          <w:rFonts w:ascii="Calibri" w:eastAsia="Calibri" w:hAnsi="Calibri" w:cs="Arial"/>
          <w:color w:val="101820"/>
          <w:sz w:val="24"/>
          <w:szCs w:val="24"/>
          <w:u w:val="single"/>
        </w:rPr>
        <w:t>ICFAW Social Media Campaign</w:t>
      </w:r>
    </w:p>
    <w:p w14:paraId="6C3FB5A6" w14:textId="77777777" w:rsidR="00963ED6" w:rsidRPr="00963ED6" w:rsidRDefault="00963ED6" w:rsidP="00963ED6">
      <w:pPr>
        <w:spacing w:before="120" w:after="120" w:line="259" w:lineRule="auto"/>
        <w:rPr>
          <w:rFonts w:ascii="Calibri" w:eastAsia="Calibri" w:hAnsi="Calibri" w:cs="Arial"/>
          <w:color w:val="101820"/>
          <w:sz w:val="24"/>
          <w:szCs w:val="24"/>
        </w:rPr>
      </w:pPr>
      <w:r w:rsidRPr="00963ED6">
        <w:rPr>
          <w:rFonts w:ascii="Calibri" w:eastAsia="Calibri" w:hAnsi="Calibri" w:cs="Arial"/>
          <w:color w:val="101820"/>
          <w:sz w:val="24"/>
          <w:szCs w:val="24"/>
        </w:rPr>
        <w:t>Charity Fraud Awareness Week features a social media campaign that promotes wise giving tips for consumers. This year the campaign also features cybersecurity and data security tips for nonprofits. Follow the FTC’s official Twitter account for daily tips and tune into the weeklong discussion at #</w:t>
      </w:r>
      <w:proofErr w:type="spellStart"/>
      <w:r w:rsidRPr="00963ED6">
        <w:rPr>
          <w:rFonts w:ascii="Calibri" w:eastAsia="Calibri" w:hAnsi="Calibri" w:cs="Arial"/>
          <w:color w:val="101820"/>
          <w:sz w:val="24"/>
          <w:szCs w:val="24"/>
        </w:rPr>
        <w:t>CharityFraudOut</w:t>
      </w:r>
      <w:proofErr w:type="spellEnd"/>
      <w:r w:rsidRPr="00963ED6">
        <w:rPr>
          <w:rFonts w:ascii="Calibri" w:eastAsia="Calibri" w:hAnsi="Calibri" w:cs="Arial"/>
          <w:color w:val="101820"/>
          <w:sz w:val="24"/>
          <w:szCs w:val="24"/>
        </w:rPr>
        <w:t>. Follow the FTC’s official Facebook account for daily tips and links to resources as well.</w:t>
      </w:r>
    </w:p>
    <w:p w14:paraId="23D802E1" w14:textId="77777777" w:rsidR="00963ED6" w:rsidRPr="002435AB" w:rsidRDefault="00963ED6" w:rsidP="00963ED6">
      <w:pPr>
        <w:spacing w:before="120" w:after="120" w:line="259" w:lineRule="auto"/>
        <w:rPr>
          <w:rFonts w:ascii="Calibri" w:eastAsia="Calibri" w:hAnsi="Calibri" w:cs="Arial"/>
          <w:color w:val="101820"/>
          <w:sz w:val="24"/>
          <w:szCs w:val="24"/>
          <w:u w:val="single"/>
        </w:rPr>
      </w:pPr>
      <w:r w:rsidRPr="002435AB">
        <w:rPr>
          <w:rFonts w:ascii="Calibri" w:eastAsia="Calibri" w:hAnsi="Calibri" w:cs="Arial"/>
          <w:color w:val="101820"/>
          <w:sz w:val="24"/>
          <w:szCs w:val="24"/>
          <w:u w:val="single"/>
        </w:rPr>
        <w:t>Advice for Consumers</w:t>
      </w:r>
    </w:p>
    <w:p w14:paraId="7D6883CF" w14:textId="77777777" w:rsidR="00963ED6" w:rsidRPr="00963ED6" w:rsidRDefault="00963ED6" w:rsidP="00963ED6">
      <w:pPr>
        <w:spacing w:before="120" w:after="120" w:line="259" w:lineRule="auto"/>
        <w:rPr>
          <w:rFonts w:ascii="Calibri" w:eastAsia="Calibri" w:hAnsi="Calibri" w:cs="Arial"/>
          <w:color w:val="101820"/>
          <w:sz w:val="24"/>
          <w:szCs w:val="24"/>
        </w:rPr>
      </w:pPr>
      <w:r w:rsidRPr="00963ED6">
        <w:rPr>
          <w:rFonts w:ascii="Calibri" w:eastAsia="Calibri" w:hAnsi="Calibri" w:cs="Arial"/>
          <w:color w:val="101820"/>
          <w:sz w:val="24"/>
          <w:szCs w:val="24"/>
        </w:rPr>
        <w:t>Many reputable charities are deserving of support. The FTC has tips at https://ftc.gov/charity to help individuals and businesses find those charities and give wisely.</w:t>
      </w:r>
    </w:p>
    <w:p w14:paraId="5FCECAE4" w14:textId="77777777" w:rsidR="00963ED6" w:rsidRPr="00963ED6" w:rsidRDefault="00963ED6" w:rsidP="00963ED6">
      <w:pPr>
        <w:spacing w:before="120" w:after="120" w:line="259" w:lineRule="auto"/>
        <w:rPr>
          <w:rFonts w:ascii="Calibri" w:eastAsia="Calibri" w:hAnsi="Calibri" w:cs="Arial"/>
          <w:color w:val="101820"/>
          <w:sz w:val="24"/>
          <w:szCs w:val="24"/>
        </w:rPr>
      </w:pPr>
      <w:r w:rsidRPr="00963ED6">
        <w:rPr>
          <w:rFonts w:ascii="Calibri" w:eastAsia="Calibri" w:hAnsi="Calibri" w:cs="Arial"/>
          <w:color w:val="101820"/>
          <w:sz w:val="24"/>
          <w:szCs w:val="24"/>
        </w:rPr>
        <w:t>Look up a charity’s report &amp; ratings. Check them out on sites like the BBB Wise Giving Alliance, Charity Navigator, CharityWatch, and GuideStar.</w:t>
      </w:r>
    </w:p>
    <w:p w14:paraId="1B4A6CE4" w14:textId="77777777" w:rsidR="00963ED6" w:rsidRPr="00963ED6" w:rsidRDefault="00963ED6" w:rsidP="00963ED6">
      <w:pPr>
        <w:spacing w:before="120" w:after="120" w:line="259" w:lineRule="auto"/>
        <w:rPr>
          <w:rFonts w:ascii="Calibri" w:eastAsia="Calibri" w:hAnsi="Calibri" w:cs="Arial"/>
          <w:color w:val="101820"/>
          <w:sz w:val="24"/>
          <w:szCs w:val="24"/>
        </w:rPr>
      </w:pPr>
      <w:r w:rsidRPr="00963ED6">
        <w:rPr>
          <w:rFonts w:ascii="Calibri" w:eastAsia="Calibri" w:hAnsi="Calibri" w:cs="Arial"/>
          <w:color w:val="101820"/>
          <w:sz w:val="24"/>
          <w:szCs w:val="24"/>
        </w:rPr>
        <w:t>Watch out for names that only look like well-known charities. Just because a group has a sympathetic sounding name, or sounds like a well-known organization, doesn’t mean it’s legitimate. Some of the worst offenders have been known to mimic the names of reputable nonprofits.</w:t>
      </w:r>
    </w:p>
    <w:p w14:paraId="11401510" w14:textId="77777777" w:rsidR="00963ED6" w:rsidRPr="00963ED6" w:rsidRDefault="00963ED6" w:rsidP="00963ED6">
      <w:pPr>
        <w:spacing w:before="120" w:after="120" w:line="259" w:lineRule="auto"/>
        <w:rPr>
          <w:rFonts w:ascii="Calibri" w:eastAsia="Calibri" w:hAnsi="Calibri" w:cs="Arial"/>
          <w:color w:val="101820"/>
          <w:sz w:val="24"/>
          <w:szCs w:val="24"/>
        </w:rPr>
      </w:pPr>
      <w:r w:rsidRPr="00963ED6">
        <w:rPr>
          <w:rFonts w:ascii="Calibri" w:eastAsia="Calibri" w:hAnsi="Calibri" w:cs="Arial"/>
          <w:color w:val="101820"/>
          <w:sz w:val="24"/>
          <w:szCs w:val="24"/>
        </w:rPr>
        <w:t>Search the charity name online. Are people reporting that it’s a scam?</w:t>
      </w:r>
    </w:p>
    <w:p w14:paraId="3066C0EE" w14:textId="77777777" w:rsidR="00963ED6" w:rsidRDefault="00963ED6" w:rsidP="00963ED6">
      <w:pPr>
        <w:spacing w:before="120" w:after="120" w:line="259" w:lineRule="auto"/>
        <w:rPr>
          <w:rFonts w:ascii="Calibri" w:eastAsia="Calibri" w:hAnsi="Calibri" w:cs="Arial"/>
          <w:color w:val="101820"/>
          <w:sz w:val="24"/>
          <w:szCs w:val="24"/>
        </w:rPr>
      </w:pPr>
      <w:r w:rsidRPr="00963ED6">
        <w:rPr>
          <w:rFonts w:ascii="Calibri" w:eastAsia="Calibri" w:hAnsi="Calibri" w:cs="Arial"/>
          <w:color w:val="101820"/>
          <w:sz w:val="24"/>
          <w:szCs w:val="24"/>
        </w:rPr>
        <w:t>Ask how much of your donation really goes to the programs you want to support.</w:t>
      </w:r>
    </w:p>
    <w:p w14:paraId="2BBF3D75" w14:textId="37B3CE6B" w:rsidR="00963ED6" w:rsidRDefault="00963ED6" w:rsidP="00963ED6">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58" w:history="1">
        <w:r w:rsidRPr="003961D9">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74C558C2" w14:textId="77777777" w:rsidR="00963ED6" w:rsidRDefault="00963ED6" w:rsidP="00963ED6">
      <w:pPr>
        <w:tabs>
          <w:tab w:val="left" w:pos="7284"/>
        </w:tabs>
        <w:spacing w:before="120" w:after="120" w:line="259" w:lineRule="auto"/>
        <w:rPr>
          <w:rFonts w:eastAsia="Calibri" w:cstheme="minorHAnsi"/>
          <w:b/>
          <w:bCs/>
          <w:i/>
          <w:color w:val="000000" w:themeColor="text1"/>
          <w:sz w:val="24"/>
          <w:szCs w:val="24"/>
        </w:rPr>
      </w:pPr>
    </w:p>
    <w:p w14:paraId="421EB301" w14:textId="5E977DE3" w:rsidR="00963ED6" w:rsidRPr="0077105F" w:rsidRDefault="00963ED6" w:rsidP="00963ED6">
      <w:pPr>
        <w:tabs>
          <w:tab w:val="left" w:pos="7284"/>
        </w:tabs>
        <w:spacing w:before="120" w:after="120" w:line="259" w:lineRule="auto"/>
        <w:rPr>
          <w:rFonts w:eastAsia="Calibri" w:cstheme="minorHAnsi"/>
          <w:b/>
          <w:bCs/>
          <w:i/>
          <w:color w:val="000000" w:themeColor="text1"/>
          <w:sz w:val="24"/>
          <w:szCs w:val="24"/>
        </w:rPr>
      </w:pPr>
      <w:r w:rsidRPr="00006E04">
        <w:rPr>
          <w:rFonts w:eastAsia="Calibri" w:cstheme="minorHAnsi"/>
          <w:b/>
          <w:bCs/>
          <w:i/>
          <w:color w:val="000000" w:themeColor="text1"/>
          <w:sz w:val="24"/>
          <w:szCs w:val="24"/>
        </w:rPr>
        <w:t>FTC Extends Deadline for Comments on COPPA Rule until December 9</w:t>
      </w:r>
      <w:r>
        <w:rPr>
          <w:rFonts w:eastAsia="Calibri" w:cstheme="minorHAnsi"/>
          <w:b/>
          <w:bCs/>
          <w:i/>
          <w:color w:val="000000" w:themeColor="text1"/>
          <w:sz w:val="24"/>
          <w:szCs w:val="24"/>
        </w:rPr>
        <w:t xml:space="preserve"> (10.17.2019</w:t>
      </w:r>
      <w:r w:rsidRPr="0077105F">
        <w:rPr>
          <w:rFonts w:eastAsia="Calibri" w:cstheme="minorHAnsi"/>
          <w:b/>
          <w:bCs/>
          <w:i/>
          <w:color w:val="000000" w:themeColor="text1"/>
          <w:sz w:val="24"/>
          <w:szCs w:val="24"/>
        </w:rPr>
        <w:t>)</w:t>
      </w:r>
      <w:r>
        <w:rPr>
          <w:rFonts w:eastAsia="Calibri" w:cstheme="minorHAnsi"/>
          <w:b/>
          <w:bCs/>
          <w:i/>
          <w:color w:val="000000" w:themeColor="text1"/>
          <w:sz w:val="24"/>
          <w:szCs w:val="24"/>
        </w:rPr>
        <w:t xml:space="preserve"> </w:t>
      </w:r>
      <w:r>
        <w:rPr>
          <w:rFonts w:eastAsia="Calibri" w:cstheme="minorHAnsi"/>
          <w:b/>
          <w:bCs/>
          <w:i/>
          <w:noProof/>
          <w:color w:val="000000" w:themeColor="text1"/>
          <w:sz w:val="24"/>
          <w:szCs w:val="24"/>
        </w:rPr>
        <w:drawing>
          <wp:inline distT="0" distB="0" distL="0" distR="0" wp14:anchorId="7A20748B" wp14:editId="4A23FD7E">
            <wp:extent cx="274320" cy="219710"/>
            <wp:effectExtent l="0" t="0" r="0" b="889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74320" cy="219710"/>
                    </a:xfrm>
                    <a:prstGeom prst="rect">
                      <a:avLst/>
                    </a:prstGeom>
                    <a:noFill/>
                  </pic:spPr>
                </pic:pic>
              </a:graphicData>
            </a:graphic>
          </wp:inline>
        </w:drawing>
      </w:r>
    </w:p>
    <w:p w14:paraId="1C2C406F" w14:textId="77777777" w:rsidR="00963ED6" w:rsidRPr="00963ED6" w:rsidRDefault="00963ED6" w:rsidP="00963ED6">
      <w:pPr>
        <w:spacing w:before="120" w:after="120" w:line="259" w:lineRule="auto"/>
        <w:rPr>
          <w:rFonts w:ascii="Calibri" w:eastAsia="Calibri" w:hAnsi="Calibri" w:cs="Arial"/>
          <w:color w:val="101820"/>
          <w:sz w:val="24"/>
          <w:szCs w:val="24"/>
        </w:rPr>
      </w:pPr>
      <w:r w:rsidRPr="00963ED6">
        <w:rPr>
          <w:rFonts w:ascii="Calibri" w:eastAsia="Calibri" w:hAnsi="Calibri" w:cs="Arial"/>
          <w:color w:val="101820"/>
          <w:sz w:val="24"/>
          <w:szCs w:val="24"/>
        </w:rPr>
        <w:lastRenderedPageBreak/>
        <w:t>The Federal Trade Commission is extending the deadline to submit comments on the effectiveness of the amendments the agency made to the Children’s Online Privacy Protection Rule (COPPA Rule) in 2013 and whether additional changes are needed. The deadline was originally October 23, 2019; it is now December 9, 2019.</w:t>
      </w:r>
    </w:p>
    <w:p w14:paraId="5C1EAC3C" w14:textId="5D73066E" w:rsidR="00963ED6" w:rsidRPr="00963ED6" w:rsidRDefault="00963ED6" w:rsidP="00963ED6">
      <w:pPr>
        <w:spacing w:before="120" w:after="120" w:line="259" w:lineRule="auto"/>
        <w:rPr>
          <w:rFonts w:ascii="Calibri" w:eastAsia="Calibri" w:hAnsi="Calibri" w:cs="Arial"/>
          <w:color w:val="101820"/>
          <w:sz w:val="24"/>
          <w:szCs w:val="24"/>
        </w:rPr>
      </w:pPr>
      <w:r w:rsidRPr="00963ED6">
        <w:rPr>
          <w:rFonts w:ascii="Calibri" w:eastAsia="Calibri" w:hAnsi="Calibri" w:cs="Arial"/>
          <w:color w:val="101820"/>
          <w:sz w:val="24"/>
          <w:szCs w:val="24"/>
        </w:rPr>
        <w:t xml:space="preserve">The FTC </w:t>
      </w:r>
      <w:hyperlink r:id="rId60" w:history="1">
        <w:r w:rsidRPr="00963ED6">
          <w:rPr>
            <w:rStyle w:val="Hyperlink"/>
            <w:rFonts w:ascii="Calibri" w:eastAsia="Calibri" w:hAnsi="Calibri" w:cs="Arial"/>
            <w:sz w:val="24"/>
            <w:szCs w:val="24"/>
          </w:rPr>
          <w:t>announced in July</w:t>
        </w:r>
      </w:hyperlink>
      <w:r w:rsidRPr="00963ED6">
        <w:rPr>
          <w:rFonts w:ascii="Calibri" w:eastAsia="Calibri" w:hAnsi="Calibri" w:cs="Arial"/>
          <w:color w:val="101820"/>
          <w:sz w:val="24"/>
          <w:szCs w:val="24"/>
        </w:rPr>
        <w:t xml:space="preserve"> that it would accept comments on a wide range of issues related to the </w:t>
      </w:r>
      <w:hyperlink r:id="rId61" w:history="1">
        <w:r w:rsidRPr="00963ED6">
          <w:rPr>
            <w:rStyle w:val="Hyperlink"/>
            <w:rFonts w:ascii="Calibri" w:eastAsia="Calibri" w:hAnsi="Calibri" w:cs="Arial"/>
            <w:sz w:val="24"/>
            <w:szCs w:val="24"/>
          </w:rPr>
          <w:t>COPPA Rule</w:t>
        </w:r>
      </w:hyperlink>
      <w:r w:rsidRPr="00963ED6">
        <w:rPr>
          <w:rFonts w:ascii="Calibri" w:eastAsia="Calibri" w:hAnsi="Calibri" w:cs="Arial"/>
          <w:color w:val="101820"/>
          <w:sz w:val="24"/>
          <w:szCs w:val="24"/>
        </w:rPr>
        <w:t>, including whether rapid changes in technology, such as the expanded use of education technology, warrant modifications to the Rule at this time.</w:t>
      </w:r>
    </w:p>
    <w:p w14:paraId="7EDE3110" w14:textId="77777777" w:rsidR="00963ED6" w:rsidRPr="00963ED6" w:rsidRDefault="00963ED6" w:rsidP="00963ED6">
      <w:pPr>
        <w:spacing w:before="120" w:after="120" w:line="259" w:lineRule="auto"/>
        <w:rPr>
          <w:rFonts w:ascii="Calibri" w:eastAsia="Calibri" w:hAnsi="Calibri" w:cs="Arial"/>
          <w:color w:val="101820"/>
          <w:sz w:val="24"/>
          <w:szCs w:val="24"/>
        </w:rPr>
      </w:pPr>
      <w:r w:rsidRPr="00963ED6">
        <w:rPr>
          <w:rFonts w:ascii="Calibri" w:eastAsia="Calibri" w:hAnsi="Calibri" w:cs="Arial"/>
          <w:color w:val="101820"/>
          <w:sz w:val="24"/>
          <w:szCs w:val="24"/>
        </w:rPr>
        <w:t>In response to requests from the public, the FTC will soon publish a notice in the Federal Register announcing the comment deadline extension. Instructions on how to submit comments will be included in the Federal Register notice.</w:t>
      </w:r>
    </w:p>
    <w:p w14:paraId="6CA7A694" w14:textId="77777777" w:rsidR="00963ED6" w:rsidRPr="00963ED6" w:rsidRDefault="00963ED6" w:rsidP="00963ED6">
      <w:pPr>
        <w:spacing w:before="120" w:after="120" w:line="259" w:lineRule="auto"/>
        <w:rPr>
          <w:rFonts w:ascii="Calibri" w:eastAsia="Calibri" w:hAnsi="Calibri" w:cs="Arial"/>
          <w:color w:val="101820"/>
          <w:sz w:val="24"/>
          <w:szCs w:val="24"/>
        </w:rPr>
      </w:pPr>
      <w:r w:rsidRPr="00963ED6">
        <w:rPr>
          <w:rFonts w:ascii="Calibri" w:eastAsia="Calibri" w:hAnsi="Calibri" w:cs="Arial"/>
          <w:color w:val="101820"/>
          <w:sz w:val="24"/>
          <w:szCs w:val="24"/>
        </w:rPr>
        <w:t>The Commission voted 5-0 to submit the notice to the Federal Register for publication.</w:t>
      </w:r>
    </w:p>
    <w:p w14:paraId="1A55FEC7" w14:textId="6B8D4248" w:rsidR="00963ED6" w:rsidRPr="00963ED6" w:rsidRDefault="00963ED6" w:rsidP="00963ED6">
      <w:pPr>
        <w:spacing w:before="120" w:after="120" w:line="259" w:lineRule="auto"/>
        <w:rPr>
          <w:rFonts w:ascii="Calibri" w:eastAsia="Calibri" w:hAnsi="Calibri" w:cs="Arial"/>
          <w:color w:val="101820"/>
          <w:sz w:val="24"/>
          <w:szCs w:val="24"/>
        </w:rPr>
      </w:pPr>
      <w:r w:rsidRPr="00963ED6">
        <w:rPr>
          <w:rFonts w:ascii="Calibri" w:eastAsia="Calibri" w:hAnsi="Calibri" w:cs="Arial"/>
          <w:color w:val="101820"/>
          <w:sz w:val="24"/>
          <w:szCs w:val="24"/>
        </w:rPr>
        <w:t>The Federal Trade Commission works to promote competition and protect and educate consumers. You can learn more about consumer topics and file a consumer complaint online or by calling 1-877-FTC-HELP (382-4357). Like the FTC on Facebook, follow us on Twitter, read our blogs, and subscribe to press releases for the latest FTC news and resources.</w:t>
      </w:r>
    </w:p>
    <w:p w14:paraId="77DD79C9" w14:textId="77777777" w:rsidR="00963ED6" w:rsidRPr="00963ED6" w:rsidRDefault="00963ED6" w:rsidP="00963ED6">
      <w:pPr>
        <w:spacing w:before="120" w:after="120" w:line="259" w:lineRule="auto"/>
        <w:rPr>
          <w:rFonts w:ascii="Calibri" w:eastAsia="Calibri" w:hAnsi="Calibri" w:cs="Arial"/>
          <w:color w:val="101820"/>
          <w:sz w:val="24"/>
          <w:szCs w:val="24"/>
        </w:rPr>
      </w:pPr>
      <w:r w:rsidRPr="00963ED6">
        <w:rPr>
          <w:rFonts w:ascii="Calibri" w:eastAsia="Calibri" w:hAnsi="Calibri" w:cs="Arial"/>
          <w:color w:val="101820"/>
          <w:sz w:val="24"/>
          <w:szCs w:val="24"/>
        </w:rPr>
        <w:t xml:space="preserve">PRESS RELEASE REFERENCE: </w:t>
      </w:r>
    </w:p>
    <w:p w14:paraId="37EAB65D" w14:textId="5B135F66" w:rsidR="00963ED6" w:rsidRDefault="00E5154D" w:rsidP="00963ED6">
      <w:pPr>
        <w:spacing w:before="120" w:after="120" w:line="259" w:lineRule="auto"/>
        <w:rPr>
          <w:rFonts w:ascii="Calibri" w:eastAsia="Calibri" w:hAnsi="Calibri" w:cs="Arial"/>
          <w:color w:val="101820"/>
          <w:sz w:val="24"/>
          <w:szCs w:val="24"/>
        </w:rPr>
      </w:pPr>
      <w:hyperlink r:id="rId62" w:history="1">
        <w:r w:rsidR="00963ED6" w:rsidRPr="00963ED6">
          <w:rPr>
            <w:rStyle w:val="Hyperlink"/>
            <w:rFonts w:ascii="Calibri" w:eastAsia="Calibri" w:hAnsi="Calibri" w:cs="Arial"/>
            <w:sz w:val="24"/>
            <w:szCs w:val="24"/>
          </w:rPr>
          <w:t>FTC Seeks Comments on Children’s Online Privacy Protection Act Rule</w:t>
        </w:r>
      </w:hyperlink>
    </w:p>
    <w:p w14:paraId="3A151472" w14:textId="304D73AD" w:rsidR="00963ED6" w:rsidRDefault="00963ED6" w:rsidP="00963ED6">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63" w:history="1">
        <w:r w:rsidRPr="003961D9">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55BE21B8" w14:textId="39D15B57" w:rsidR="00963ED6" w:rsidRDefault="00963ED6" w:rsidP="00020838">
      <w:pPr>
        <w:rPr>
          <w:rFonts w:eastAsia="Calibri" w:cstheme="minorHAnsi"/>
          <w:b/>
          <w:bCs/>
          <w:i/>
          <w:color w:val="002060"/>
          <w:sz w:val="24"/>
          <w:szCs w:val="24"/>
        </w:rPr>
      </w:pPr>
      <w:r w:rsidRPr="0077105F">
        <w:rPr>
          <w:rFonts w:eastAsia="Calibri" w:cstheme="minorHAnsi"/>
          <w:b/>
          <w:bCs/>
          <w:i/>
          <w:color w:val="002060"/>
          <w:sz w:val="24"/>
          <w:szCs w:val="24"/>
        </w:rPr>
        <w:t xml:space="preserve">Comment: </w:t>
      </w:r>
      <w:r w:rsidR="00020838" w:rsidRPr="00020838">
        <w:rPr>
          <w:rFonts w:eastAsia="Calibri" w:cstheme="minorHAnsi"/>
          <w:b/>
          <w:bCs/>
          <w:i/>
          <w:color w:val="002060"/>
          <w:sz w:val="24"/>
          <w:szCs w:val="24"/>
        </w:rPr>
        <w:t xml:space="preserve">COPPA requires operators of websites targeted to kids </w:t>
      </w:r>
      <w:r w:rsidR="00020838">
        <w:rPr>
          <w:rFonts w:eastAsia="Calibri" w:cstheme="minorHAnsi"/>
          <w:b/>
          <w:bCs/>
          <w:i/>
          <w:color w:val="002060"/>
          <w:sz w:val="24"/>
          <w:szCs w:val="24"/>
        </w:rPr>
        <w:t>(</w:t>
      </w:r>
      <w:r w:rsidR="00020838" w:rsidRPr="00020838">
        <w:rPr>
          <w:rFonts w:eastAsia="Calibri" w:cstheme="minorHAnsi"/>
          <w:b/>
          <w:bCs/>
          <w:i/>
          <w:color w:val="002060"/>
          <w:sz w:val="24"/>
          <w:szCs w:val="24"/>
        </w:rPr>
        <w:t>or with actual knowledge that kids are using the sit</w:t>
      </w:r>
      <w:r w:rsidR="00BF51B5">
        <w:rPr>
          <w:rFonts w:eastAsia="Calibri" w:cstheme="minorHAnsi"/>
          <w:b/>
          <w:bCs/>
          <w:i/>
          <w:color w:val="002060"/>
          <w:sz w:val="24"/>
          <w:szCs w:val="24"/>
        </w:rPr>
        <w:t>e</w:t>
      </w:r>
      <w:r w:rsidR="00020838">
        <w:rPr>
          <w:rFonts w:eastAsia="Calibri" w:cstheme="minorHAnsi"/>
          <w:b/>
          <w:bCs/>
          <w:i/>
          <w:color w:val="002060"/>
          <w:sz w:val="24"/>
          <w:szCs w:val="24"/>
        </w:rPr>
        <w:t>!)</w:t>
      </w:r>
      <w:r w:rsidR="00020838" w:rsidRPr="00020838">
        <w:rPr>
          <w:rFonts w:eastAsia="Calibri" w:cstheme="minorHAnsi"/>
          <w:b/>
          <w:bCs/>
          <w:i/>
          <w:color w:val="002060"/>
          <w:sz w:val="24"/>
          <w:szCs w:val="24"/>
        </w:rPr>
        <w:t xml:space="preserve"> to obtain parental permission to collect, use or disclose personal information of anyone under 13. </w:t>
      </w:r>
    </w:p>
    <w:p w14:paraId="3529693D" w14:textId="1E1A6460" w:rsidR="00963ED6" w:rsidRDefault="00963ED6" w:rsidP="0042460B">
      <w:pPr>
        <w:tabs>
          <w:tab w:val="left" w:pos="7284"/>
        </w:tabs>
        <w:spacing w:before="120" w:after="120" w:line="259" w:lineRule="auto"/>
        <w:rPr>
          <w:rFonts w:eastAsia="Calibri" w:cstheme="minorHAnsi"/>
          <w:b/>
          <w:bCs/>
          <w:i/>
          <w:color w:val="000000" w:themeColor="text1"/>
          <w:sz w:val="24"/>
          <w:szCs w:val="24"/>
        </w:rPr>
      </w:pPr>
    </w:p>
    <w:p w14:paraId="37FA9FBE" w14:textId="538AFE3C" w:rsidR="00B359A6" w:rsidRPr="0077105F" w:rsidRDefault="00B359A6" w:rsidP="00B359A6">
      <w:pPr>
        <w:tabs>
          <w:tab w:val="left" w:pos="7284"/>
        </w:tabs>
        <w:spacing w:before="120" w:after="120" w:line="259" w:lineRule="auto"/>
        <w:rPr>
          <w:rFonts w:eastAsia="Calibri" w:cstheme="minorHAnsi"/>
          <w:b/>
          <w:bCs/>
          <w:i/>
          <w:color w:val="000000" w:themeColor="text1"/>
          <w:sz w:val="24"/>
          <w:szCs w:val="24"/>
        </w:rPr>
      </w:pPr>
      <w:r w:rsidRPr="00610FDF">
        <w:rPr>
          <w:rFonts w:eastAsia="Calibri" w:cstheme="minorHAnsi"/>
          <w:b/>
          <w:bCs/>
          <w:i/>
          <w:color w:val="000000" w:themeColor="text1"/>
          <w:sz w:val="24"/>
          <w:szCs w:val="24"/>
        </w:rPr>
        <w:t>U.S. Department of Labor Issues Final Overtime Rule</w:t>
      </w:r>
      <w:r w:rsidRPr="00B359A6">
        <w:rPr>
          <w:rFonts w:eastAsia="Calibri" w:cstheme="minorHAnsi"/>
          <w:b/>
          <w:bCs/>
          <w:i/>
          <w:color w:val="000000" w:themeColor="text1"/>
          <w:sz w:val="24"/>
          <w:szCs w:val="24"/>
        </w:rPr>
        <w:t xml:space="preserve"> </w:t>
      </w:r>
      <w:r>
        <w:rPr>
          <w:rFonts w:eastAsia="Calibri" w:cstheme="minorHAnsi"/>
          <w:b/>
          <w:bCs/>
          <w:i/>
          <w:color w:val="000000" w:themeColor="text1"/>
          <w:sz w:val="24"/>
          <w:szCs w:val="24"/>
        </w:rPr>
        <w:t>(10.17.2019</w:t>
      </w:r>
      <w:r w:rsidRPr="0077105F">
        <w:rPr>
          <w:rFonts w:eastAsia="Calibri" w:cstheme="minorHAnsi"/>
          <w:b/>
          <w:bCs/>
          <w:i/>
          <w:color w:val="000000" w:themeColor="text1"/>
          <w:sz w:val="24"/>
          <w:szCs w:val="24"/>
        </w:rPr>
        <w:t>)</w:t>
      </w:r>
      <w:r>
        <w:rPr>
          <w:rFonts w:eastAsia="Calibri" w:cstheme="minorHAnsi"/>
          <w:b/>
          <w:bCs/>
          <w:i/>
          <w:color w:val="000000" w:themeColor="text1"/>
          <w:sz w:val="24"/>
          <w:szCs w:val="24"/>
        </w:rPr>
        <w:t xml:space="preserve"> </w:t>
      </w:r>
      <w:r w:rsidR="00701400">
        <w:rPr>
          <w:rFonts w:eastAsia="Calibri" w:cstheme="minorHAnsi"/>
          <w:b/>
          <w:bCs/>
          <w:i/>
          <w:noProof/>
          <w:color w:val="000000" w:themeColor="text1"/>
          <w:sz w:val="24"/>
          <w:szCs w:val="24"/>
        </w:rPr>
        <w:drawing>
          <wp:inline distT="0" distB="0" distL="0" distR="0" wp14:anchorId="4ECDE27D" wp14:editId="0B7CF335">
            <wp:extent cx="274320" cy="219710"/>
            <wp:effectExtent l="0" t="0" r="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74320" cy="219710"/>
                    </a:xfrm>
                    <a:prstGeom prst="rect">
                      <a:avLst/>
                    </a:prstGeom>
                    <a:noFill/>
                  </pic:spPr>
                </pic:pic>
              </a:graphicData>
            </a:graphic>
          </wp:inline>
        </w:drawing>
      </w:r>
    </w:p>
    <w:p w14:paraId="7F098BFA" w14:textId="11F1BCC9" w:rsidR="00B359A6" w:rsidRPr="00B359A6" w:rsidRDefault="00B359A6" w:rsidP="00B359A6">
      <w:pPr>
        <w:spacing w:before="120" w:after="120" w:line="259" w:lineRule="auto"/>
        <w:rPr>
          <w:rFonts w:ascii="Calibri" w:eastAsia="Calibri" w:hAnsi="Calibri" w:cs="Arial"/>
          <w:color w:val="101820"/>
          <w:sz w:val="24"/>
          <w:szCs w:val="24"/>
        </w:rPr>
      </w:pPr>
      <w:r w:rsidRPr="00B359A6">
        <w:rPr>
          <w:rFonts w:ascii="Calibri" w:eastAsia="Calibri" w:hAnsi="Calibri" w:cs="Arial"/>
          <w:color w:val="101820"/>
          <w:sz w:val="24"/>
          <w:szCs w:val="24"/>
        </w:rPr>
        <w:t xml:space="preserve">WASHINGTON, DC – </w:t>
      </w:r>
      <w:r w:rsidR="00D7020D">
        <w:rPr>
          <w:rFonts w:ascii="Calibri" w:eastAsia="Calibri" w:hAnsi="Calibri" w:cs="Arial"/>
          <w:color w:val="101820"/>
          <w:sz w:val="24"/>
          <w:szCs w:val="24"/>
        </w:rPr>
        <w:t>T</w:t>
      </w:r>
      <w:r w:rsidRPr="00B359A6">
        <w:rPr>
          <w:rFonts w:ascii="Calibri" w:eastAsia="Calibri" w:hAnsi="Calibri" w:cs="Arial"/>
          <w:color w:val="101820"/>
          <w:sz w:val="24"/>
          <w:szCs w:val="24"/>
        </w:rPr>
        <w:t>he U.S. Department of Labor announced a final rule to make 1.3 million American workers eligible for overtime pay under the Fair Labor Standards Act (FLSA).</w:t>
      </w:r>
    </w:p>
    <w:p w14:paraId="2C4BFB6B" w14:textId="77777777" w:rsidR="00B359A6" w:rsidRPr="00B359A6" w:rsidRDefault="00B359A6" w:rsidP="00B359A6">
      <w:pPr>
        <w:spacing w:before="120" w:after="120" w:line="259" w:lineRule="auto"/>
        <w:rPr>
          <w:rFonts w:ascii="Calibri" w:eastAsia="Calibri" w:hAnsi="Calibri" w:cs="Arial"/>
          <w:color w:val="101820"/>
          <w:sz w:val="24"/>
          <w:szCs w:val="24"/>
        </w:rPr>
      </w:pPr>
      <w:r w:rsidRPr="00B359A6">
        <w:rPr>
          <w:rFonts w:ascii="Calibri" w:eastAsia="Calibri" w:hAnsi="Calibri" w:cs="Arial"/>
          <w:color w:val="101820"/>
          <w:sz w:val="24"/>
          <w:szCs w:val="24"/>
        </w:rPr>
        <w:t>"For the first time in over 15 years, America's workers will have an update to overtime regulations that will put overtime pay into the pockets of more than a million working Americans," Acting U.S. Secretary of Labor Patrick Pizzella said. "This rule brings a commonsense approach that offers consistency and certainty for employers as well as clarity and prosperity for American workers."</w:t>
      </w:r>
    </w:p>
    <w:p w14:paraId="79F90C9D" w14:textId="77777777" w:rsidR="00B359A6" w:rsidRPr="00B359A6" w:rsidRDefault="00B359A6" w:rsidP="00B359A6">
      <w:pPr>
        <w:spacing w:before="120" w:after="120" w:line="259" w:lineRule="auto"/>
        <w:rPr>
          <w:rFonts w:ascii="Calibri" w:eastAsia="Calibri" w:hAnsi="Calibri" w:cs="Arial"/>
          <w:color w:val="101820"/>
          <w:sz w:val="24"/>
          <w:szCs w:val="24"/>
        </w:rPr>
      </w:pPr>
      <w:r w:rsidRPr="00B359A6">
        <w:rPr>
          <w:rFonts w:ascii="Calibri" w:eastAsia="Calibri" w:hAnsi="Calibri" w:cs="Arial"/>
          <w:color w:val="101820"/>
          <w:sz w:val="24"/>
          <w:szCs w:val="24"/>
        </w:rPr>
        <w:t>"Today's rule is a thoughtful product informed by public comment, listening sessions, and long-standing calculations," Wage and Hour Division Administrator Cheryl Stanton remarked. "The Wage and Hour Division now turns to help employers comply and ensure that workers will be receiving their overtime pay."</w:t>
      </w:r>
    </w:p>
    <w:p w14:paraId="6265CD95" w14:textId="391B4D8B" w:rsidR="00B359A6" w:rsidRPr="00B359A6" w:rsidRDefault="00B359A6" w:rsidP="00B359A6">
      <w:pPr>
        <w:spacing w:before="120" w:after="120" w:line="259" w:lineRule="auto"/>
        <w:rPr>
          <w:rFonts w:ascii="Calibri" w:eastAsia="Calibri" w:hAnsi="Calibri" w:cs="Arial"/>
          <w:color w:val="101820"/>
          <w:sz w:val="24"/>
          <w:szCs w:val="24"/>
        </w:rPr>
      </w:pPr>
      <w:r w:rsidRPr="00B359A6">
        <w:rPr>
          <w:rFonts w:ascii="Calibri" w:eastAsia="Calibri" w:hAnsi="Calibri" w:cs="Arial"/>
          <w:color w:val="101820"/>
          <w:sz w:val="24"/>
          <w:szCs w:val="24"/>
        </w:rPr>
        <w:t>The final rule updates the earnings thresholds necessary to exempt executive, administrative, or professional employees from the FLSA's minimum wage and overtime pay requirements and allows employers to count a portion of certain bonuses (and commissions) towards meeting the salary level. The new thresholds account for growth in employee earnings since the currently enforced thresholds were set in 2004. In the final rule, the Department is:</w:t>
      </w:r>
    </w:p>
    <w:p w14:paraId="768CB25B" w14:textId="77777777" w:rsidR="00B359A6" w:rsidRPr="002435AB" w:rsidRDefault="00B359A6" w:rsidP="002435AB">
      <w:pPr>
        <w:pStyle w:val="ListParagraph"/>
        <w:numPr>
          <w:ilvl w:val="0"/>
          <w:numId w:val="46"/>
        </w:numPr>
        <w:spacing w:before="120" w:after="120" w:line="259" w:lineRule="auto"/>
        <w:rPr>
          <w:rFonts w:ascii="Calibri" w:eastAsia="Calibri" w:hAnsi="Calibri" w:cs="Arial"/>
          <w:color w:val="101820"/>
        </w:rPr>
      </w:pPr>
      <w:r w:rsidRPr="002435AB">
        <w:rPr>
          <w:rFonts w:ascii="Calibri" w:eastAsia="Calibri" w:hAnsi="Calibri" w:cs="Arial"/>
          <w:color w:val="101820"/>
        </w:rPr>
        <w:t>raising the "standard salary level" from the currently enforced level of $455 to $684 per week (equivalent to $35,568 per year for a full-year worker);</w:t>
      </w:r>
    </w:p>
    <w:p w14:paraId="0EA3361D" w14:textId="77777777" w:rsidR="00B359A6" w:rsidRPr="002435AB" w:rsidRDefault="00B359A6" w:rsidP="002435AB">
      <w:pPr>
        <w:pStyle w:val="ListParagraph"/>
        <w:numPr>
          <w:ilvl w:val="0"/>
          <w:numId w:val="46"/>
        </w:numPr>
        <w:spacing w:before="120" w:after="120" w:line="259" w:lineRule="auto"/>
        <w:rPr>
          <w:rFonts w:ascii="Calibri" w:eastAsia="Calibri" w:hAnsi="Calibri" w:cs="Arial"/>
          <w:color w:val="101820"/>
        </w:rPr>
      </w:pPr>
      <w:r w:rsidRPr="002435AB">
        <w:rPr>
          <w:rFonts w:ascii="Calibri" w:eastAsia="Calibri" w:hAnsi="Calibri" w:cs="Arial"/>
          <w:color w:val="101820"/>
        </w:rPr>
        <w:lastRenderedPageBreak/>
        <w:t xml:space="preserve">raising the total annual compensation level for "highly compensated employees (HCE)" from the </w:t>
      </w:r>
      <w:proofErr w:type="gramStart"/>
      <w:r w:rsidRPr="002435AB">
        <w:rPr>
          <w:rFonts w:ascii="Calibri" w:eastAsia="Calibri" w:hAnsi="Calibri" w:cs="Arial"/>
          <w:color w:val="101820"/>
        </w:rPr>
        <w:t>currently-enforced</w:t>
      </w:r>
      <w:proofErr w:type="gramEnd"/>
      <w:r w:rsidRPr="002435AB">
        <w:rPr>
          <w:rFonts w:ascii="Calibri" w:eastAsia="Calibri" w:hAnsi="Calibri" w:cs="Arial"/>
          <w:color w:val="101820"/>
        </w:rPr>
        <w:t xml:space="preserve"> level of $100,000 to $107,432 per year;</w:t>
      </w:r>
    </w:p>
    <w:p w14:paraId="265F9D20" w14:textId="77777777" w:rsidR="00B359A6" w:rsidRPr="002435AB" w:rsidRDefault="00B359A6" w:rsidP="002435AB">
      <w:pPr>
        <w:pStyle w:val="ListParagraph"/>
        <w:numPr>
          <w:ilvl w:val="0"/>
          <w:numId w:val="46"/>
        </w:numPr>
        <w:spacing w:before="120" w:after="120" w:line="259" w:lineRule="auto"/>
        <w:rPr>
          <w:rFonts w:ascii="Calibri" w:eastAsia="Calibri" w:hAnsi="Calibri" w:cs="Arial"/>
          <w:color w:val="101820"/>
        </w:rPr>
      </w:pPr>
      <w:r w:rsidRPr="002435AB">
        <w:rPr>
          <w:rFonts w:ascii="Calibri" w:eastAsia="Calibri" w:hAnsi="Calibri" w:cs="Arial"/>
          <w:color w:val="101820"/>
        </w:rPr>
        <w:t>allowing employers to use nondiscretionary bonuses and incentive payments (including commissions) that are paid at least annually to satisfy up to 10 percent of the standard salary level, in recognition of evolving pay practices; and</w:t>
      </w:r>
    </w:p>
    <w:p w14:paraId="3D1B9D02" w14:textId="77777777" w:rsidR="00B359A6" w:rsidRPr="002435AB" w:rsidRDefault="00B359A6" w:rsidP="002435AB">
      <w:pPr>
        <w:pStyle w:val="ListParagraph"/>
        <w:numPr>
          <w:ilvl w:val="0"/>
          <w:numId w:val="46"/>
        </w:numPr>
        <w:spacing w:before="120" w:after="120" w:line="259" w:lineRule="auto"/>
        <w:rPr>
          <w:rFonts w:ascii="Calibri" w:eastAsia="Calibri" w:hAnsi="Calibri" w:cs="Arial"/>
          <w:color w:val="101820"/>
        </w:rPr>
      </w:pPr>
      <w:r w:rsidRPr="002435AB">
        <w:rPr>
          <w:rFonts w:ascii="Calibri" w:eastAsia="Calibri" w:hAnsi="Calibri" w:cs="Arial"/>
          <w:color w:val="101820"/>
        </w:rPr>
        <w:t>revising the special salary levels for workers in U.S. territories and in the motion picture industry.</w:t>
      </w:r>
    </w:p>
    <w:p w14:paraId="07A49CAF" w14:textId="77777777" w:rsidR="00B359A6" w:rsidRDefault="00B359A6" w:rsidP="00B359A6">
      <w:pPr>
        <w:spacing w:before="120" w:after="120" w:line="259" w:lineRule="auto"/>
        <w:rPr>
          <w:rFonts w:ascii="Calibri" w:eastAsia="Calibri" w:hAnsi="Calibri" w:cs="Arial"/>
          <w:color w:val="101820"/>
          <w:sz w:val="24"/>
          <w:szCs w:val="24"/>
        </w:rPr>
      </w:pPr>
      <w:r w:rsidRPr="00B359A6">
        <w:rPr>
          <w:rFonts w:ascii="Calibri" w:eastAsia="Calibri" w:hAnsi="Calibri" w:cs="Arial"/>
          <w:color w:val="101820"/>
          <w:sz w:val="24"/>
          <w:szCs w:val="24"/>
        </w:rPr>
        <w:t>The final rule will be effective on January 1, 2020.</w:t>
      </w:r>
    </w:p>
    <w:p w14:paraId="353C2B57" w14:textId="5A9B2CA0" w:rsidR="00B359A6" w:rsidRDefault="00B359A6" w:rsidP="00B359A6">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64" w:history="1">
        <w:r w:rsidRPr="00B359A6">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60577EB2" w14:textId="06CBDDCE" w:rsidR="00B359A6" w:rsidRDefault="00B359A6" w:rsidP="00B359A6">
      <w:pPr>
        <w:spacing w:before="120" w:after="120" w:line="259" w:lineRule="auto"/>
        <w:rPr>
          <w:rFonts w:eastAsia="Calibri" w:cstheme="minorHAnsi"/>
          <w:b/>
          <w:bCs/>
          <w:i/>
          <w:color w:val="002060"/>
          <w:sz w:val="24"/>
          <w:szCs w:val="24"/>
        </w:rPr>
      </w:pPr>
      <w:r w:rsidRPr="0077105F">
        <w:rPr>
          <w:rFonts w:eastAsia="Calibri" w:cstheme="minorHAnsi"/>
          <w:b/>
          <w:bCs/>
          <w:i/>
          <w:color w:val="002060"/>
          <w:sz w:val="24"/>
          <w:szCs w:val="24"/>
        </w:rPr>
        <w:t xml:space="preserve">Comment: </w:t>
      </w:r>
      <w:r w:rsidR="002435AB">
        <w:rPr>
          <w:rFonts w:eastAsia="Calibri" w:cstheme="minorHAnsi"/>
          <w:b/>
          <w:bCs/>
          <w:i/>
          <w:color w:val="002060"/>
          <w:sz w:val="24"/>
          <w:szCs w:val="24"/>
        </w:rPr>
        <w:t>This final rule raises the salary level to a more reasonable threshold than was originally proposed in the prior administration</w:t>
      </w:r>
      <w:r>
        <w:rPr>
          <w:rFonts w:eastAsia="Calibri" w:cstheme="minorHAnsi"/>
          <w:b/>
          <w:bCs/>
          <w:i/>
          <w:color w:val="002060"/>
          <w:sz w:val="24"/>
          <w:szCs w:val="24"/>
        </w:rPr>
        <w:t xml:space="preserve">. </w:t>
      </w:r>
    </w:p>
    <w:p w14:paraId="75898685" w14:textId="77777777" w:rsidR="00B359A6" w:rsidRDefault="00B359A6" w:rsidP="0042460B">
      <w:pPr>
        <w:tabs>
          <w:tab w:val="left" w:pos="7284"/>
        </w:tabs>
        <w:spacing w:before="120" w:after="120" w:line="259" w:lineRule="auto"/>
        <w:rPr>
          <w:rFonts w:eastAsia="Calibri" w:cstheme="minorHAnsi"/>
          <w:b/>
          <w:bCs/>
          <w:i/>
          <w:color w:val="000000" w:themeColor="text1"/>
          <w:sz w:val="24"/>
          <w:szCs w:val="24"/>
        </w:rPr>
      </w:pPr>
    </w:p>
    <w:p w14:paraId="30F1F192" w14:textId="25ACCDD1" w:rsidR="00F7754F" w:rsidRPr="0077105F" w:rsidRDefault="00F7754F" w:rsidP="00F7754F">
      <w:pPr>
        <w:tabs>
          <w:tab w:val="left" w:pos="7284"/>
        </w:tabs>
        <w:spacing w:before="120" w:after="120" w:line="259" w:lineRule="auto"/>
        <w:rPr>
          <w:rFonts w:eastAsia="Calibri" w:cstheme="minorHAnsi"/>
          <w:b/>
          <w:bCs/>
          <w:i/>
          <w:color w:val="000000" w:themeColor="text1"/>
          <w:sz w:val="24"/>
          <w:szCs w:val="24"/>
        </w:rPr>
      </w:pPr>
      <w:r w:rsidRPr="00F7754F">
        <w:rPr>
          <w:rFonts w:eastAsia="Calibri" w:cstheme="minorHAnsi"/>
          <w:b/>
          <w:bCs/>
          <w:i/>
          <w:color w:val="000000" w:themeColor="text1"/>
          <w:sz w:val="24"/>
          <w:szCs w:val="24"/>
        </w:rPr>
        <w:t xml:space="preserve">FTC Releases FY 2019 National Do Not Call Registry Data Book </w:t>
      </w:r>
      <w:r>
        <w:rPr>
          <w:rFonts w:eastAsia="Calibri" w:cstheme="minorHAnsi"/>
          <w:b/>
          <w:bCs/>
          <w:i/>
          <w:color w:val="000000" w:themeColor="text1"/>
          <w:sz w:val="24"/>
          <w:szCs w:val="24"/>
        </w:rPr>
        <w:t>(10.17.2019</w:t>
      </w:r>
      <w:r w:rsidRPr="0077105F">
        <w:rPr>
          <w:rFonts w:eastAsia="Calibri" w:cstheme="minorHAnsi"/>
          <w:b/>
          <w:bCs/>
          <w:i/>
          <w:color w:val="000000" w:themeColor="text1"/>
          <w:sz w:val="24"/>
          <w:szCs w:val="24"/>
        </w:rPr>
        <w:t>)</w:t>
      </w:r>
      <w:r>
        <w:rPr>
          <w:rFonts w:eastAsia="Calibri" w:cstheme="minorHAnsi"/>
          <w:b/>
          <w:bCs/>
          <w:i/>
          <w:color w:val="000000" w:themeColor="text1"/>
          <w:sz w:val="24"/>
          <w:szCs w:val="24"/>
        </w:rPr>
        <w:t xml:space="preserve"> </w:t>
      </w:r>
    </w:p>
    <w:p w14:paraId="49D1DCB9" w14:textId="222A14E8" w:rsidR="00F7754F" w:rsidRPr="00F7754F" w:rsidRDefault="00F7754F" w:rsidP="00F7754F">
      <w:pPr>
        <w:spacing w:before="120" w:after="120" w:line="259" w:lineRule="auto"/>
        <w:rPr>
          <w:rFonts w:ascii="Calibri" w:eastAsia="Calibri" w:hAnsi="Calibri" w:cs="Arial"/>
          <w:color w:val="101820"/>
          <w:sz w:val="24"/>
          <w:szCs w:val="24"/>
        </w:rPr>
      </w:pPr>
      <w:r w:rsidRPr="00F7754F">
        <w:rPr>
          <w:rFonts w:ascii="Calibri" w:eastAsia="Calibri" w:hAnsi="Calibri" w:cs="Arial"/>
          <w:color w:val="101820"/>
          <w:sz w:val="24"/>
          <w:szCs w:val="24"/>
        </w:rPr>
        <w:t>The Federal Trade Commission</w:t>
      </w:r>
      <w:r w:rsidR="00D7020D">
        <w:rPr>
          <w:rFonts w:ascii="Calibri" w:eastAsia="Calibri" w:hAnsi="Calibri" w:cs="Arial"/>
          <w:color w:val="101820"/>
          <w:sz w:val="24"/>
          <w:szCs w:val="24"/>
        </w:rPr>
        <w:t xml:space="preserve"> </w:t>
      </w:r>
      <w:r w:rsidRPr="00F7754F">
        <w:rPr>
          <w:rFonts w:ascii="Calibri" w:eastAsia="Calibri" w:hAnsi="Calibri" w:cs="Arial"/>
          <w:color w:val="101820"/>
          <w:sz w:val="24"/>
          <w:szCs w:val="24"/>
        </w:rPr>
        <w:t>issued the National Do Not Call Registry Data Book for Fiscal Year 2019. The FTC’s National Do Not Call (DNC) Registry lets consumers choose not to receive most legal telemarketing calls. The data show that the number of active registrations on the DNC Registry increased over the past year, while the total number of consumer complaints decreased for the second year in a row.</w:t>
      </w:r>
    </w:p>
    <w:p w14:paraId="7537DE18" w14:textId="77777777" w:rsidR="00F7754F" w:rsidRDefault="00F7754F" w:rsidP="009F487C">
      <w:pPr>
        <w:spacing w:before="120" w:after="120" w:line="259" w:lineRule="auto"/>
        <w:rPr>
          <w:rFonts w:ascii="Calibri" w:eastAsia="Calibri" w:hAnsi="Calibri" w:cs="Arial"/>
          <w:color w:val="101820"/>
          <w:sz w:val="24"/>
          <w:szCs w:val="24"/>
        </w:rPr>
      </w:pPr>
      <w:r w:rsidRPr="00F7754F">
        <w:rPr>
          <w:rFonts w:ascii="Calibri" w:eastAsia="Calibri" w:hAnsi="Calibri" w:cs="Arial"/>
          <w:color w:val="101820"/>
          <w:sz w:val="24"/>
          <w:szCs w:val="24"/>
        </w:rPr>
        <w:t>Now in its eleventh year, the Data Book contains information about the DNC Registry for FY 2019 (from October 1, 2018 to September 30, 2019). The Data Book provides the most recent information available on robocall complaints, the types of calls consumers reported to the FTC, and a complete state-by-state analysis.</w:t>
      </w:r>
    </w:p>
    <w:p w14:paraId="75CD8823" w14:textId="7114D2CF" w:rsidR="00F7754F" w:rsidRDefault="00F7754F" w:rsidP="00F7754F">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65" w:history="1">
        <w:r w:rsidRPr="003961D9">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559C5C1B" w14:textId="2C8F4C6C" w:rsidR="00F7754F" w:rsidRDefault="00F7754F" w:rsidP="0042460B">
      <w:pPr>
        <w:tabs>
          <w:tab w:val="left" w:pos="7284"/>
        </w:tabs>
        <w:spacing w:before="120" w:after="120" w:line="259" w:lineRule="auto"/>
        <w:rPr>
          <w:rFonts w:eastAsia="Calibri" w:cstheme="minorHAnsi"/>
          <w:b/>
          <w:bCs/>
          <w:i/>
          <w:color w:val="000000" w:themeColor="text1"/>
          <w:sz w:val="24"/>
          <w:szCs w:val="24"/>
        </w:rPr>
      </w:pPr>
    </w:p>
    <w:p w14:paraId="3F45DEF0" w14:textId="643719C5" w:rsidR="009F487C" w:rsidRPr="0077105F" w:rsidRDefault="009F487C" w:rsidP="009F487C">
      <w:pPr>
        <w:tabs>
          <w:tab w:val="left" w:pos="7284"/>
        </w:tabs>
        <w:spacing w:before="120" w:after="120" w:line="259" w:lineRule="auto"/>
        <w:rPr>
          <w:rFonts w:eastAsia="Calibri" w:cstheme="minorHAnsi"/>
          <w:b/>
          <w:bCs/>
          <w:i/>
          <w:color w:val="000000" w:themeColor="text1"/>
          <w:sz w:val="24"/>
          <w:szCs w:val="24"/>
        </w:rPr>
      </w:pPr>
      <w:r>
        <w:rPr>
          <w:rFonts w:eastAsia="Calibri" w:cstheme="minorHAnsi"/>
          <w:b/>
          <w:bCs/>
          <w:i/>
          <w:color w:val="000000" w:themeColor="text1"/>
          <w:sz w:val="24"/>
          <w:szCs w:val="24"/>
        </w:rPr>
        <w:t>ICBA Releases Banking Cannabis ‘Explainers’</w:t>
      </w:r>
      <w:r w:rsidRPr="00D60982">
        <w:rPr>
          <w:rFonts w:eastAsia="Calibri" w:cstheme="minorHAnsi"/>
          <w:b/>
          <w:bCs/>
          <w:i/>
          <w:color w:val="000000" w:themeColor="text1"/>
          <w:sz w:val="24"/>
          <w:szCs w:val="24"/>
        </w:rPr>
        <w:t xml:space="preserve"> </w:t>
      </w:r>
      <w:r>
        <w:rPr>
          <w:rFonts w:eastAsia="Calibri" w:cstheme="minorHAnsi"/>
          <w:b/>
          <w:bCs/>
          <w:i/>
          <w:color w:val="000000" w:themeColor="text1"/>
          <w:sz w:val="24"/>
          <w:szCs w:val="24"/>
        </w:rPr>
        <w:t>(10.10.2019</w:t>
      </w:r>
      <w:r w:rsidRPr="0077105F">
        <w:rPr>
          <w:rFonts w:eastAsia="Calibri" w:cstheme="minorHAnsi"/>
          <w:b/>
          <w:bCs/>
          <w:i/>
          <w:color w:val="000000" w:themeColor="text1"/>
          <w:sz w:val="24"/>
          <w:szCs w:val="24"/>
        </w:rPr>
        <w:t>)</w:t>
      </w:r>
      <w:r>
        <w:rPr>
          <w:rFonts w:eastAsia="Calibri" w:cstheme="minorHAnsi"/>
          <w:b/>
          <w:bCs/>
          <w:i/>
          <w:color w:val="000000" w:themeColor="text1"/>
          <w:sz w:val="24"/>
          <w:szCs w:val="24"/>
        </w:rPr>
        <w:t xml:space="preserve"> </w:t>
      </w:r>
    </w:p>
    <w:p w14:paraId="5DC316D9" w14:textId="77777777" w:rsidR="009F487C" w:rsidRPr="009F487C" w:rsidRDefault="009F487C" w:rsidP="009F487C">
      <w:pPr>
        <w:spacing w:before="120" w:after="120" w:line="259" w:lineRule="auto"/>
        <w:rPr>
          <w:rFonts w:cstheme="minorHAnsi"/>
          <w:color w:val="000000"/>
          <w:sz w:val="24"/>
          <w:szCs w:val="24"/>
          <w:shd w:val="clear" w:color="auto" w:fill="FFFFFF"/>
        </w:rPr>
      </w:pPr>
      <w:r w:rsidRPr="009F487C">
        <w:rPr>
          <w:rFonts w:cstheme="minorHAnsi"/>
          <w:color w:val="000000"/>
          <w:sz w:val="24"/>
          <w:szCs w:val="24"/>
          <w:shd w:val="clear" w:color="auto" w:fill="FFFFFF"/>
        </w:rPr>
        <w:t>ICBA released a </w:t>
      </w:r>
      <w:hyperlink r:id="rId66" w:tgtFrame="_blank" w:history="1">
        <w:r w:rsidRPr="009F487C">
          <w:rPr>
            <w:rFonts w:cstheme="minorHAnsi"/>
            <w:color w:val="0065C8"/>
            <w:sz w:val="24"/>
            <w:szCs w:val="24"/>
            <w:u w:val="single"/>
            <w:shd w:val="clear" w:color="auto" w:fill="FFFFFF"/>
          </w:rPr>
          <w:t>one-page summary</w:t>
        </w:r>
      </w:hyperlink>
      <w:r w:rsidRPr="009F487C">
        <w:rPr>
          <w:rFonts w:cstheme="minorHAnsi"/>
          <w:color w:val="000000"/>
          <w:sz w:val="24"/>
          <w:szCs w:val="24"/>
          <w:shd w:val="clear" w:color="auto" w:fill="FFFFFF"/>
        </w:rPr>
        <w:t> and answers to </w:t>
      </w:r>
      <w:hyperlink r:id="rId67" w:tgtFrame="_blank" w:history="1">
        <w:r w:rsidRPr="009F487C">
          <w:rPr>
            <w:rFonts w:cstheme="minorHAnsi"/>
            <w:color w:val="0065C8"/>
            <w:sz w:val="24"/>
            <w:szCs w:val="24"/>
            <w:u w:val="single"/>
            <w:shd w:val="clear" w:color="auto" w:fill="FFFFFF"/>
          </w:rPr>
          <w:t>frequently asked questions</w:t>
        </w:r>
      </w:hyperlink>
      <w:r w:rsidRPr="009F487C">
        <w:rPr>
          <w:rFonts w:cstheme="minorHAnsi"/>
          <w:color w:val="000000"/>
          <w:sz w:val="24"/>
          <w:szCs w:val="24"/>
          <w:shd w:val="clear" w:color="auto" w:fill="FFFFFF"/>
        </w:rPr>
        <w:t> on House-passed legislation to establish a cannabis-banking safe harbor in states where cannabis is legal.</w:t>
      </w:r>
      <w:r w:rsidRPr="009F487C">
        <w:rPr>
          <w:rFonts w:cstheme="minorHAnsi"/>
          <w:color w:val="000000"/>
          <w:sz w:val="24"/>
          <w:szCs w:val="24"/>
        </w:rPr>
        <w:br/>
      </w:r>
      <w:r w:rsidRPr="009F487C">
        <w:rPr>
          <w:rFonts w:cstheme="minorHAnsi"/>
          <w:color w:val="000000"/>
          <w:sz w:val="24"/>
          <w:szCs w:val="24"/>
        </w:rPr>
        <w:br/>
      </w:r>
      <w:r w:rsidRPr="009F487C">
        <w:rPr>
          <w:rFonts w:cstheme="minorHAnsi"/>
          <w:color w:val="000000"/>
          <w:sz w:val="24"/>
          <w:szCs w:val="24"/>
          <w:shd w:val="clear" w:color="auto" w:fill="FFFFFF"/>
        </w:rPr>
        <w:t>Following last month's bipartisan House vote sending the SAFE Banking Act (H.R. 1595) to the Senate, the ICBA resources detail what's in the legislation and how it would benefit community banks and local communities.</w:t>
      </w:r>
      <w:r w:rsidRPr="009F487C">
        <w:rPr>
          <w:rFonts w:cstheme="minorHAnsi"/>
          <w:color w:val="000000"/>
          <w:sz w:val="24"/>
          <w:szCs w:val="24"/>
        </w:rPr>
        <w:br/>
      </w:r>
      <w:r w:rsidRPr="009F487C">
        <w:rPr>
          <w:rFonts w:cstheme="minorHAnsi"/>
          <w:color w:val="000000"/>
          <w:sz w:val="24"/>
          <w:szCs w:val="24"/>
        </w:rPr>
        <w:br/>
      </w:r>
      <w:r w:rsidRPr="009F487C">
        <w:rPr>
          <w:rFonts w:cstheme="minorHAnsi"/>
          <w:color w:val="000000"/>
          <w:sz w:val="24"/>
          <w:szCs w:val="24"/>
          <w:shd w:val="clear" w:color="auto" w:fill="FFFFFF"/>
        </w:rPr>
        <w:t>The bipartisan bill would establish a safe harbor in states where cannabis is legal. As the first national banking trade group to support the SAFE Banking Act, ICBA has long worked to advance this policy to curb regulatory uncertainty and reduce public safety risks.</w:t>
      </w:r>
    </w:p>
    <w:p w14:paraId="1E4F27B4" w14:textId="4D916456" w:rsidR="009F487C" w:rsidRDefault="009F487C" w:rsidP="009F487C">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68" w:history="1">
        <w:r w:rsidRPr="009F487C">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5DB2D8C4" w14:textId="3DAC99FE" w:rsidR="009F487C" w:rsidRDefault="009F487C" w:rsidP="009F487C">
      <w:pPr>
        <w:spacing w:before="120" w:after="120" w:line="259" w:lineRule="auto"/>
        <w:rPr>
          <w:rFonts w:eastAsia="Calibri" w:cstheme="minorHAnsi"/>
          <w:b/>
          <w:bCs/>
          <w:i/>
          <w:color w:val="002060"/>
          <w:sz w:val="24"/>
          <w:szCs w:val="24"/>
        </w:rPr>
      </w:pPr>
      <w:r w:rsidRPr="0077105F">
        <w:rPr>
          <w:rFonts w:eastAsia="Calibri" w:cstheme="minorHAnsi"/>
          <w:b/>
          <w:bCs/>
          <w:i/>
          <w:color w:val="002060"/>
          <w:sz w:val="24"/>
          <w:szCs w:val="24"/>
        </w:rPr>
        <w:t xml:space="preserve">Comment: </w:t>
      </w:r>
      <w:r w:rsidR="002435AB">
        <w:rPr>
          <w:rFonts w:eastAsia="Calibri" w:cstheme="minorHAnsi"/>
          <w:b/>
          <w:bCs/>
          <w:i/>
          <w:color w:val="002060"/>
          <w:sz w:val="24"/>
          <w:szCs w:val="24"/>
        </w:rPr>
        <w:t>All but three states permit some use of cannabis—mostly medical</w:t>
      </w:r>
      <w:r>
        <w:rPr>
          <w:rFonts w:eastAsia="Calibri" w:cstheme="minorHAnsi"/>
          <w:b/>
          <w:bCs/>
          <w:i/>
          <w:color w:val="002060"/>
          <w:sz w:val="24"/>
          <w:szCs w:val="24"/>
        </w:rPr>
        <w:t>.</w:t>
      </w:r>
      <w:r w:rsidR="002435AB">
        <w:rPr>
          <w:rFonts w:eastAsia="Calibri" w:cstheme="minorHAnsi"/>
          <w:b/>
          <w:bCs/>
          <w:i/>
          <w:color w:val="002060"/>
          <w:sz w:val="24"/>
          <w:szCs w:val="24"/>
        </w:rPr>
        <w:t xml:space="preserve"> </w:t>
      </w:r>
      <w:r w:rsidR="00020838" w:rsidRPr="00020838">
        <w:rPr>
          <w:rFonts w:eastAsia="Calibri" w:cstheme="minorHAnsi"/>
          <w:b/>
          <w:bCs/>
          <w:i/>
          <w:color w:val="002060"/>
          <w:sz w:val="24"/>
          <w:szCs w:val="24"/>
        </w:rPr>
        <w:t xml:space="preserve">If passed, the Secure and Fair Enforcement (SAFE) Banking Act would protect banks from federal prosecution </w:t>
      </w:r>
      <w:proofErr w:type="gramStart"/>
      <w:r w:rsidR="00020838" w:rsidRPr="00020838">
        <w:rPr>
          <w:rFonts w:eastAsia="Calibri" w:cstheme="minorHAnsi"/>
          <w:b/>
          <w:bCs/>
          <w:i/>
          <w:color w:val="002060"/>
          <w:sz w:val="24"/>
          <w:szCs w:val="24"/>
        </w:rPr>
        <w:t>as long as</w:t>
      </w:r>
      <w:proofErr w:type="gramEnd"/>
      <w:r w:rsidR="00020838" w:rsidRPr="00020838">
        <w:rPr>
          <w:rFonts w:eastAsia="Calibri" w:cstheme="minorHAnsi"/>
          <w:b/>
          <w:bCs/>
          <w:i/>
          <w:color w:val="002060"/>
          <w:sz w:val="24"/>
          <w:szCs w:val="24"/>
        </w:rPr>
        <w:t xml:space="preserve"> the cannabis businesses they work with comply with the laws in the states where they operate.</w:t>
      </w:r>
      <w:r>
        <w:rPr>
          <w:rFonts w:eastAsia="Calibri" w:cstheme="minorHAnsi"/>
          <w:b/>
          <w:bCs/>
          <w:i/>
          <w:color w:val="002060"/>
          <w:sz w:val="24"/>
          <w:szCs w:val="24"/>
        </w:rPr>
        <w:t xml:space="preserve"> </w:t>
      </w:r>
      <w:r w:rsidR="007976BB">
        <w:rPr>
          <w:rFonts w:eastAsia="Calibri" w:cstheme="minorHAnsi"/>
          <w:b/>
          <w:bCs/>
          <w:i/>
          <w:color w:val="002060"/>
          <w:sz w:val="24"/>
          <w:szCs w:val="24"/>
        </w:rPr>
        <w:t>C</w:t>
      </w:r>
      <w:r w:rsidR="00020838">
        <w:rPr>
          <w:rFonts w:eastAsia="Calibri" w:cstheme="minorHAnsi"/>
          <w:b/>
          <w:bCs/>
          <w:i/>
          <w:color w:val="002060"/>
          <w:sz w:val="24"/>
          <w:szCs w:val="24"/>
        </w:rPr>
        <w:t>ommunity banks across the country support the passage of the SAFE Act.</w:t>
      </w:r>
    </w:p>
    <w:p w14:paraId="49506714" w14:textId="77777777" w:rsidR="009F487C" w:rsidRDefault="009F487C" w:rsidP="0042460B">
      <w:pPr>
        <w:tabs>
          <w:tab w:val="left" w:pos="7284"/>
        </w:tabs>
        <w:spacing w:before="120" w:after="120" w:line="259" w:lineRule="auto"/>
        <w:rPr>
          <w:rFonts w:eastAsia="Calibri" w:cstheme="minorHAnsi"/>
          <w:b/>
          <w:bCs/>
          <w:i/>
          <w:color w:val="000000" w:themeColor="text1"/>
          <w:sz w:val="24"/>
          <w:szCs w:val="24"/>
        </w:rPr>
      </w:pPr>
    </w:p>
    <w:p w14:paraId="1C17EC79" w14:textId="516006F0" w:rsidR="0042460B" w:rsidRPr="0077105F" w:rsidRDefault="003961D9" w:rsidP="0042460B">
      <w:pPr>
        <w:tabs>
          <w:tab w:val="left" w:pos="7284"/>
        </w:tabs>
        <w:spacing w:before="120" w:after="120" w:line="259" w:lineRule="auto"/>
        <w:rPr>
          <w:rFonts w:eastAsia="Calibri" w:cstheme="minorHAnsi"/>
          <w:b/>
          <w:bCs/>
          <w:i/>
          <w:color w:val="000000" w:themeColor="text1"/>
          <w:sz w:val="24"/>
          <w:szCs w:val="24"/>
        </w:rPr>
      </w:pPr>
      <w:r w:rsidRPr="003961D9">
        <w:rPr>
          <w:rFonts w:eastAsia="Calibri" w:cstheme="minorHAnsi"/>
          <w:b/>
          <w:bCs/>
          <w:i/>
          <w:color w:val="000000" w:themeColor="text1"/>
          <w:sz w:val="24"/>
          <w:szCs w:val="24"/>
        </w:rPr>
        <w:t xml:space="preserve">State Financial Regulators Seek Public Comment on Model Payments Law </w:t>
      </w:r>
      <w:r w:rsidR="0042460B">
        <w:rPr>
          <w:rFonts w:eastAsia="Calibri" w:cstheme="minorHAnsi"/>
          <w:b/>
          <w:bCs/>
          <w:i/>
          <w:color w:val="000000" w:themeColor="text1"/>
          <w:sz w:val="24"/>
          <w:szCs w:val="24"/>
        </w:rPr>
        <w:t>(</w:t>
      </w:r>
      <w:r>
        <w:rPr>
          <w:rFonts w:eastAsia="Calibri" w:cstheme="minorHAnsi"/>
          <w:b/>
          <w:bCs/>
          <w:i/>
          <w:color w:val="000000" w:themeColor="text1"/>
          <w:sz w:val="24"/>
          <w:szCs w:val="24"/>
        </w:rPr>
        <w:t>10</w:t>
      </w:r>
      <w:r w:rsidR="0042460B">
        <w:rPr>
          <w:rFonts w:eastAsia="Calibri" w:cstheme="minorHAnsi"/>
          <w:b/>
          <w:bCs/>
          <w:i/>
          <w:color w:val="000000" w:themeColor="text1"/>
          <w:sz w:val="24"/>
          <w:szCs w:val="24"/>
        </w:rPr>
        <w:t>.</w:t>
      </w:r>
      <w:r>
        <w:rPr>
          <w:rFonts w:eastAsia="Calibri" w:cstheme="minorHAnsi"/>
          <w:b/>
          <w:bCs/>
          <w:i/>
          <w:color w:val="000000" w:themeColor="text1"/>
          <w:sz w:val="24"/>
          <w:szCs w:val="24"/>
        </w:rPr>
        <w:t>10</w:t>
      </w:r>
      <w:r w:rsidR="0042460B">
        <w:rPr>
          <w:rFonts w:eastAsia="Calibri" w:cstheme="minorHAnsi"/>
          <w:b/>
          <w:bCs/>
          <w:i/>
          <w:color w:val="000000" w:themeColor="text1"/>
          <w:sz w:val="24"/>
          <w:szCs w:val="24"/>
        </w:rPr>
        <w:t>.2019</w:t>
      </w:r>
      <w:r w:rsidR="0042460B" w:rsidRPr="0077105F">
        <w:rPr>
          <w:rFonts w:eastAsia="Calibri" w:cstheme="minorHAnsi"/>
          <w:b/>
          <w:bCs/>
          <w:i/>
          <w:color w:val="000000" w:themeColor="text1"/>
          <w:sz w:val="24"/>
          <w:szCs w:val="24"/>
        </w:rPr>
        <w:t>)</w:t>
      </w:r>
      <w:r w:rsidR="0042460B">
        <w:rPr>
          <w:rFonts w:eastAsia="Calibri" w:cstheme="minorHAnsi"/>
          <w:b/>
          <w:bCs/>
          <w:i/>
          <w:color w:val="000000" w:themeColor="text1"/>
          <w:sz w:val="24"/>
          <w:szCs w:val="24"/>
        </w:rPr>
        <w:t xml:space="preserve"> </w:t>
      </w:r>
      <w:r w:rsidR="007976BB">
        <w:rPr>
          <w:rFonts w:eastAsia="Calibri" w:cstheme="minorHAnsi"/>
          <w:b/>
          <w:bCs/>
          <w:i/>
          <w:noProof/>
          <w:color w:val="000000" w:themeColor="text1"/>
          <w:sz w:val="24"/>
          <w:szCs w:val="24"/>
        </w:rPr>
        <w:drawing>
          <wp:inline distT="0" distB="0" distL="0" distR="0" wp14:anchorId="51FE32F0" wp14:editId="638A72B9">
            <wp:extent cx="274320" cy="219710"/>
            <wp:effectExtent l="0" t="0" r="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4320" cy="219710"/>
                    </a:xfrm>
                    <a:prstGeom prst="rect">
                      <a:avLst/>
                    </a:prstGeom>
                    <a:noFill/>
                  </pic:spPr>
                </pic:pic>
              </a:graphicData>
            </a:graphic>
          </wp:inline>
        </w:drawing>
      </w:r>
    </w:p>
    <w:p w14:paraId="58D60815" w14:textId="77777777" w:rsidR="00C57585" w:rsidRPr="00C57585" w:rsidRDefault="00C57585" w:rsidP="00C57585">
      <w:pPr>
        <w:spacing w:before="120" w:after="120" w:line="259" w:lineRule="auto"/>
        <w:rPr>
          <w:rFonts w:ascii="Calibri" w:eastAsia="Calibri" w:hAnsi="Calibri" w:cs="Arial"/>
          <w:color w:val="101820"/>
          <w:sz w:val="24"/>
          <w:szCs w:val="24"/>
        </w:rPr>
      </w:pPr>
      <w:r w:rsidRPr="00C57585">
        <w:rPr>
          <w:rFonts w:ascii="Calibri" w:eastAsia="Calibri" w:hAnsi="Calibri" w:cs="Arial"/>
          <w:color w:val="101820"/>
          <w:sz w:val="24"/>
          <w:szCs w:val="24"/>
        </w:rPr>
        <w:lastRenderedPageBreak/>
        <w:t>Washington, DC – The Conference of State Bank Supervisors (CSBS) is seeking public input on draft language for model payments legislation that could be introduced in all 50 states. The proposed legislative language covers issues related to state money transmission and payments regulation.</w:t>
      </w:r>
    </w:p>
    <w:p w14:paraId="0BF9158E" w14:textId="77777777" w:rsidR="00C57585" w:rsidRPr="00C57585" w:rsidRDefault="00C57585" w:rsidP="00C57585">
      <w:pPr>
        <w:spacing w:before="120" w:after="120" w:line="259" w:lineRule="auto"/>
        <w:rPr>
          <w:rFonts w:ascii="Calibri" w:eastAsia="Calibri" w:hAnsi="Calibri" w:cs="Arial"/>
          <w:color w:val="101820"/>
          <w:sz w:val="24"/>
          <w:szCs w:val="24"/>
        </w:rPr>
      </w:pPr>
      <w:r w:rsidRPr="00C57585">
        <w:rPr>
          <w:rFonts w:ascii="Calibri" w:eastAsia="Calibri" w:hAnsi="Calibri" w:cs="Arial"/>
          <w:color w:val="101820"/>
          <w:sz w:val="24"/>
          <w:szCs w:val="24"/>
        </w:rPr>
        <w:t>Creating model payments legislation and standards is one of several recommendations of the CSBS Fintech Industry Advisory Panel, part of CSBS Vision 2020, the state initiative to streamline multistate licensing and supervision for nonbanks.</w:t>
      </w:r>
    </w:p>
    <w:p w14:paraId="76321533" w14:textId="612DB088" w:rsidR="00C57585" w:rsidRPr="00C57585" w:rsidRDefault="00C57585" w:rsidP="00C57585">
      <w:pPr>
        <w:spacing w:before="120" w:after="120" w:line="259" w:lineRule="auto"/>
        <w:rPr>
          <w:rFonts w:ascii="Calibri" w:eastAsia="Calibri" w:hAnsi="Calibri" w:cs="Arial"/>
          <w:color w:val="101820"/>
          <w:sz w:val="24"/>
          <w:szCs w:val="24"/>
        </w:rPr>
      </w:pPr>
      <w:r w:rsidRPr="00C57585">
        <w:rPr>
          <w:rFonts w:ascii="Calibri" w:eastAsia="Calibri" w:hAnsi="Calibri" w:cs="Arial"/>
          <w:color w:val="101820"/>
          <w:sz w:val="24"/>
          <w:szCs w:val="24"/>
        </w:rPr>
        <w:t xml:space="preserve">CSBS encourages commenters to provide actionable language and redline edits by November 1, 2019. The draft legislation and other materials are available at </w:t>
      </w:r>
      <w:hyperlink r:id="rId69" w:history="1">
        <w:r w:rsidRPr="003961D9">
          <w:rPr>
            <w:rStyle w:val="Hyperlink"/>
            <w:rFonts w:ascii="Calibri" w:eastAsia="Calibri" w:hAnsi="Calibri" w:cs="Arial"/>
            <w:sz w:val="24"/>
            <w:szCs w:val="24"/>
          </w:rPr>
          <w:t>csbs.org/</w:t>
        </w:r>
        <w:proofErr w:type="spellStart"/>
        <w:r w:rsidRPr="003961D9">
          <w:rPr>
            <w:rStyle w:val="Hyperlink"/>
            <w:rFonts w:ascii="Calibri" w:eastAsia="Calibri" w:hAnsi="Calibri" w:cs="Arial"/>
            <w:sz w:val="24"/>
            <w:szCs w:val="24"/>
          </w:rPr>
          <w:t>MSBlawcomments</w:t>
        </w:r>
        <w:proofErr w:type="spellEnd"/>
        <w:r w:rsidRPr="003961D9">
          <w:rPr>
            <w:rStyle w:val="Hyperlink"/>
            <w:rFonts w:ascii="Calibri" w:eastAsia="Calibri" w:hAnsi="Calibri" w:cs="Arial"/>
            <w:sz w:val="24"/>
            <w:szCs w:val="24"/>
          </w:rPr>
          <w:t>.</w:t>
        </w:r>
      </w:hyperlink>
    </w:p>
    <w:p w14:paraId="7224BC14" w14:textId="77777777" w:rsidR="00C57585" w:rsidRPr="00C57585" w:rsidRDefault="00C57585" w:rsidP="00C57585">
      <w:pPr>
        <w:spacing w:before="120" w:after="120" w:line="259" w:lineRule="auto"/>
        <w:rPr>
          <w:rFonts w:ascii="Calibri" w:eastAsia="Calibri" w:hAnsi="Calibri" w:cs="Arial"/>
          <w:color w:val="101820"/>
          <w:sz w:val="24"/>
          <w:szCs w:val="24"/>
        </w:rPr>
      </w:pPr>
      <w:r w:rsidRPr="00C57585">
        <w:rPr>
          <w:rFonts w:ascii="Calibri" w:eastAsia="Calibri" w:hAnsi="Calibri" w:cs="Arial"/>
          <w:color w:val="101820"/>
          <w:sz w:val="24"/>
          <w:szCs w:val="24"/>
        </w:rPr>
        <w:t>The request for comment solicits input on several outstanding questions outlined in the executive summary, including questions of ensuring consistent interpretations across the states.</w:t>
      </w:r>
    </w:p>
    <w:p w14:paraId="640E7EFE" w14:textId="77777777" w:rsidR="003961D9" w:rsidRDefault="00C57585" w:rsidP="00C57585">
      <w:pPr>
        <w:spacing w:before="120" w:after="120" w:line="259" w:lineRule="auto"/>
        <w:rPr>
          <w:rFonts w:ascii="Calibri" w:eastAsia="Calibri" w:hAnsi="Calibri" w:cs="Arial"/>
          <w:color w:val="101820"/>
          <w:sz w:val="24"/>
          <w:szCs w:val="24"/>
        </w:rPr>
      </w:pPr>
      <w:r w:rsidRPr="00C57585">
        <w:rPr>
          <w:rFonts w:ascii="Calibri" w:eastAsia="Calibri" w:hAnsi="Calibri" w:cs="Arial"/>
          <w:color w:val="101820"/>
          <w:sz w:val="24"/>
          <w:szCs w:val="24"/>
        </w:rPr>
        <w:t>After November 1, CSBS will focus on the most impactful measures for Vision 2020. Depending on feedback received, this may mean finalizing less controversial issues before standardizing more complex matters.</w:t>
      </w:r>
    </w:p>
    <w:p w14:paraId="57770407" w14:textId="2440136A" w:rsidR="0042460B" w:rsidRDefault="0042460B" w:rsidP="00C57585">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70" w:history="1">
        <w:r w:rsidRPr="003961D9">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0544F831" w14:textId="77777777" w:rsidR="0042460B" w:rsidRDefault="0042460B" w:rsidP="0042460B">
      <w:pPr>
        <w:tabs>
          <w:tab w:val="left" w:pos="7284"/>
        </w:tabs>
        <w:spacing w:before="120" w:after="120" w:line="259" w:lineRule="auto"/>
        <w:rPr>
          <w:rFonts w:eastAsia="Calibri" w:cstheme="minorHAnsi"/>
          <w:b/>
          <w:bCs/>
          <w:i/>
          <w:color w:val="000000" w:themeColor="text1"/>
          <w:sz w:val="24"/>
          <w:szCs w:val="24"/>
        </w:rPr>
      </w:pPr>
    </w:p>
    <w:p w14:paraId="41F225F9" w14:textId="3C0CC4D1" w:rsidR="0042460B" w:rsidRPr="0077105F" w:rsidRDefault="003961D9" w:rsidP="0042460B">
      <w:pPr>
        <w:tabs>
          <w:tab w:val="left" w:pos="7284"/>
        </w:tabs>
        <w:spacing w:before="120" w:after="120" w:line="259" w:lineRule="auto"/>
        <w:rPr>
          <w:rFonts w:eastAsia="Calibri" w:cstheme="minorHAnsi"/>
          <w:b/>
          <w:bCs/>
          <w:i/>
          <w:color w:val="000000" w:themeColor="text1"/>
          <w:sz w:val="24"/>
          <w:szCs w:val="24"/>
        </w:rPr>
      </w:pPr>
      <w:r w:rsidRPr="003961D9">
        <w:rPr>
          <w:rFonts w:eastAsia="Calibri" w:cstheme="minorHAnsi"/>
          <w:b/>
          <w:bCs/>
          <w:i/>
          <w:color w:val="000000" w:themeColor="text1"/>
          <w:sz w:val="24"/>
          <w:szCs w:val="24"/>
        </w:rPr>
        <w:t xml:space="preserve">State Mortgage Regulators Call for Simplified Data Transfer Process for Loan Origination Software Users </w:t>
      </w:r>
      <w:r w:rsidR="0042460B">
        <w:rPr>
          <w:rFonts w:eastAsia="Calibri" w:cstheme="minorHAnsi"/>
          <w:b/>
          <w:bCs/>
          <w:i/>
          <w:color w:val="000000" w:themeColor="text1"/>
          <w:sz w:val="24"/>
          <w:szCs w:val="24"/>
        </w:rPr>
        <w:t>(</w:t>
      </w:r>
      <w:r>
        <w:rPr>
          <w:rFonts w:eastAsia="Calibri" w:cstheme="minorHAnsi"/>
          <w:b/>
          <w:bCs/>
          <w:i/>
          <w:color w:val="000000" w:themeColor="text1"/>
          <w:sz w:val="24"/>
          <w:szCs w:val="24"/>
        </w:rPr>
        <w:t>10</w:t>
      </w:r>
      <w:r w:rsidR="0042460B">
        <w:rPr>
          <w:rFonts w:eastAsia="Calibri" w:cstheme="minorHAnsi"/>
          <w:b/>
          <w:bCs/>
          <w:i/>
          <w:color w:val="000000" w:themeColor="text1"/>
          <w:sz w:val="24"/>
          <w:szCs w:val="24"/>
        </w:rPr>
        <w:t>.</w:t>
      </w:r>
      <w:r>
        <w:rPr>
          <w:rFonts w:eastAsia="Calibri" w:cstheme="minorHAnsi"/>
          <w:b/>
          <w:bCs/>
          <w:i/>
          <w:color w:val="000000" w:themeColor="text1"/>
          <w:sz w:val="24"/>
          <w:szCs w:val="24"/>
        </w:rPr>
        <w:t>08</w:t>
      </w:r>
      <w:r w:rsidR="0042460B">
        <w:rPr>
          <w:rFonts w:eastAsia="Calibri" w:cstheme="minorHAnsi"/>
          <w:b/>
          <w:bCs/>
          <w:i/>
          <w:color w:val="000000" w:themeColor="text1"/>
          <w:sz w:val="24"/>
          <w:szCs w:val="24"/>
        </w:rPr>
        <w:t>.2019</w:t>
      </w:r>
      <w:r w:rsidR="0042460B" w:rsidRPr="0077105F">
        <w:rPr>
          <w:rFonts w:eastAsia="Calibri" w:cstheme="minorHAnsi"/>
          <w:b/>
          <w:bCs/>
          <w:i/>
          <w:color w:val="000000" w:themeColor="text1"/>
          <w:sz w:val="24"/>
          <w:szCs w:val="24"/>
        </w:rPr>
        <w:t>)</w:t>
      </w:r>
      <w:r w:rsidR="0042460B">
        <w:rPr>
          <w:rFonts w:eastAsia="Calibri" w:cstheme="minorHAnsi"/>
          <w:b/>
          <w:bCs/>
          <w:i/>
          <w:color w:val="000000" w:themeColor="text1"/>
          <w:sz w:val="24"/>
          <w:szCs w:val="24"/>
        </w:rPr>
        <w:t xml:space="preserve"> </w:t>
      </w:r>
    </w:p>
    <w:p w14:paraId="25E755F7" w14:textId="77777777" w:rsidR="003961D9" w:rsidRPr="003961D9" w:rsidRDefault="003961D9" w:rsidP="003961D9">
      <w:pPr>
        <w:spacing w:before="120" w:after="120" w:line="259" w:lineRule="auto"/>
        <w:rPr>
          <w:rFonts w:ascii="Calibri" w:eastAsia="Calibri" w:hAnsi="Calibri" w:cs="Arial"/>
          <w:color w:val="101820"/>
          <w:sz w:val="24"/>
          <w:szCs w:val="24"/>
        </w:rPr>
      </w:pPr>
      <w:r w:rsidRPr="003961D9">
        <w:rPr>
          <w:rFonts w:ascii="Calibri" w:eastAsia="Calibri" w:hAnsi="Calibri" w:cs="Arial"/>
          <w:color w:val="101820"/>
          <w:sz w:val="24"/>
          <w:szCs w:val="24"/>
        </w:rPr>
        <w:t xml:space="preserve">Washington, DC -- State regulators are encouraging industry to integrate state-developed data standards with mortgage loan origination systems, said the Conference of State Bank Supervisors (CSBS) and American Association of Residential Mortgage Regulators (AARMR). The purpose is to enhance the quality of loan review and examination processes while reducing regulatory burdens for industry.  </w:t>
      </w:r>
    </w:p>
    <w:p w14:paraId="54F8D7B1" w14:textId="77777777" w:rsidR="003961D9" w:rsidRPr="003961D9" w:rsidRDefault="003961D9" w:rsidP="003961D9">
      <w:pPr>
        <w:spacing w:before="120" w:after="120" w:line="259" w:lineRule="auto"/>
        <w:rPr>
          <w:rFonts w:ascii="Calibri" w:eastAsia="Calibri" w:hAnsi="Calibri" w:cs="Arial"/>
          <w:color w:val="101820"/>
          <w:sz w:val="24"/>
          <w:szCs w:val="24"/>
        </w:rPr>
      </w:pPr>
      <w:r w:rsidRPr="003961D9">
        <w:rPr>
          <w:rFonts w:ascii="Calibri" w:eastAsia="Calibri" w:hAnsi="Calibri" w:cs="Arial"/>
          <w:color w:val="101820"/>
          <w:sz w:val="24"/>
          <w:szCs w:val="24"/>
        </w:rPr>
        <w:t xml:space="preserve">Currently, state and federal regulators use the Lending Examination Format (LEF) data standard to provide consistency and uniformity in electronic exams. Regulators use LEF data to test mortgage loans against all federal, state and municipal laws and regulations affecting consumer protection.  </w:t>
      </w:r>
    </w:p>
    <w:p w14:paraId="297971B5" w14:textId="77777777" w:rsidR="003961D9" w:rsidRPr="003961D9" w:rsidRDefault="003961D9" w:rsidP="003961D9">
      <w:pPr>
        <w:spacing w:before="120" w:after="120" w:line="259" w:lineRule="auto"/>
        <w:rPr>
          <w:rFonts w:ascii="Calibri" w:eastAsia="Calibri" w:hAnsi="Calibri" w:cs="Arial"/>
          <w:color w:val="101820"/>
          <w:sz w:val="24"/>
          <w:szCs w:val="24"/>
        </w:rPr>
      </w:pPr>
      <w:r w:rsidRPr="003961D9">
        <w:rPr>
          <w:rFonts w:ascii="Calibri" w:eastAsia="Calibri" w:hAnsi="Calibri" w:cs="Arial"/>
          <w:color w:val="101820"/>
          <w:sz w:val="24"/>
          <w:szCs w:val="24"/>
        </w:rPr>
        <w:t xml:space="preserve">The regulators’ call for adoption follows several meetings held with industry this year to better address data transfer in e-exams and understand challenges in delivering cleanly mapped data. Next step: Regulators are assisting vendors that choose to incorporate LEF data export abilities into their individual systems. </w:t>
      </w:r>
    </w:p>
    <w:p w14:paraId="6B9752BB" w14:textId="77777777" w:rsidR="003961D9" w:rsidRPr="003961D9" w:rsidRDefault="003961D9" w:rsidP="003961D9">
      <w:pPr>
        <w:spacing w:before="120" w:after="120" w:line="259" w:lineRule="auto"/>
        <w:rPr>
          <w:rFonts w:ascii="Calibri" w:eastAsia="Calibri" w:hAnsi="Calibri" w:cs="Arial"/>
          <w:color w:val="101820"/>
          <w:sz w:val="24"/>
          <w:szCs w:val="24"/>
        </w:rPr>
      </w:pPr>
      <w:r w:rsidRPr="003961D9">
        <w:rPr>
          <w:rFonts w:ascii="Calibri" w:eastAsia="Calibri" w:hAnsi="Calibri" w:cs="Arial"/>
          <w:color w:val="101820"/>
          <w:sz w:val="24"/>
          <w:szCs w:val="24"/>
        </w:rPr>
        <w:t xml:space="preserve">State regulators are focused on ways to reengineer nonbank supervision with the goal of more effective supervision while reducing the burden companies experience in traditional onsite reviews.  </w:t>
      </w:r>
    </w:p>
    <w:p w14:paraId="6BC9E7FB" w14:textId="77777777" w:rsidR="003961D9" w:rsidRPr="003961D9" w:rsidRDefault="003961D9" w:rsidP="003961D9">
      <w:pPr>
        <w:spacing w:before="120" w:after="120" w:line="259" w:lineRule="auto"/>
        <w:rPr>
          <w:rFonts w:ascii="Calibri" w:eastAsia="Calibri" w:hAnsi="Calibri" w:cs="Arial"/>
          <w:color w:val="101820"/>
          <w:sz w:val="24"/>
          <w:szCs w:val="24"/>
        </w:rPr>
      </w:pPr>
      <w:r w:rsidRPr="003961D9">
        <w:rPr>
          <w:rFonts w:ascii="Calibri" w:eastAsia="Calibri" w:hAnsi="Calibri" w:cs="Arial"/>
          <w:color w:val="101820"/>
          <w:sz w:val="24"/>
          <w:szCs w:val="24"/>
        </w:rPr>
        <w:t xml:space="preserve">Quotes: </w:t>
      </w:r>
    </w:p>
    <w:p w14:paraId="04C7EA60" w14:textId="77777777" w:rsidR="003961D9" w:rsidRPr="003961D9" w:rsidRDefault="003961D9" w:rsidP="003961D9">
      <w:pPr>
        <w:spacing w:before="120" w:after="120" w:line="259" w:lineRule="auto"/>
        <w:rPr>
          <w:rFonts w:ascii="Calibri" w:eastAsia="Calibri" w:hAnsi="Calibri" w:cs="Arial"/>
          <w:color w:val="101820"/>
          <w:sz w:val="24"/>
          <w:szCs w:val="24"/>
        </w:rPr>
      </w:pPr>
      <w:r w:rsidRPr="003961D9">
        <w:rPr>
          <w:rFonts w:ascii="Calibri" w:eastAsia="Calibri" w:hAnsi="Calibri" w:cs="Arial"/>
          <w:color w:val="101820"/>
          <w:sz w:val="24"/>
          <w:szCs w:val="24"/>
        </w:rPr>
        <w:t xml:space="preserve">Charlie Clark, president of AARMR and director of Washington State Department of Financial Institutions: “With this initiative to move toward standardized data, state mortgage regulators will be able to take the next step to significantly improve the efficiency and effectiveness of examinations. It is an important step in modernizing examination work.”  </w:t>
      </w:r>
    </w:p>
    <w:p w14:paraId="68022576" w14:textId="77777777" w:rsidR="003961D9" w:rsidRPr="003961D9" w:rsidRDefault="003961D9" w:rsidP="003961D9">
      <w:pPr>
        <w:spacing w:before="120" w:after="120" w:line="259" w:lineRule="auto"/>
        <w:rPr>
          <w:rFonts w:ascii="Calibri" w:eastAsia="Calibri" w:hAnsi="Calibri" w:cs="Arial"/>
          <w:color w:val="101820"/>
          <w:sz w:val="24"/>
          <w:szCs w:val="24"/>
        </w:rPr>
      </w:pPr>
      <w:r w:rsidRPr="003961D9">
        <w:rPr>
          <w:rFonts w:ascii="Calibri" w:eastAsia="Calibri" w:hAnsi="Calibri" w:cs="Arial"/>
          <w:color w:val="101820"/>
          <w:sz w:val="24"/>
          <w:szCs w:val="24"/>
        </w:rPr>
        <w:t xml:space="preserve">Jeremy Windham, vice chair of Multistate Mortgage Committee at CSBS and AARMR:  “Regulators are encouraged by the positive response we have received from loan origination systems and document preparation vendors to enhance the functionality of data transfer, a coordinated effort that benefits lenders at the same time as it benefits all the agencies regulating the industry.” </w:t>
      </w:r>
    </w:p>
    <w:p w14:paraId="57776CAB" w14:textId="77777777" w:rsidR="003961D9" w:rsidRDefault="003961D9" w:rsidP="003961D9">
      <w:pPr>
        <w:spacing w:before="120" w:after="120" w:line="259" w:lineRule="auto"/>
        <w:rPr>
          <w:rFonts w:ascii="Calibri" w:eastAsia="Calibri" w:hAnsi="Calibri" w:cs="Arial"/>
          <w:color w:val="101820"/>
          <w:sz w:val="24"/>
          <w:szCs w:val="24"/>
        </w:rPr>
      </w:pPr>
      <w:r w:rsidRPr="003961D9">
        <w:rPr>
          <w:rFonts w:ascii="Calibri" w:eastAsia="Calibri" w:hAnsi="Calibri" w:cs="Arial"/>
          <w:color w:val="101820"/>
          <w:sz w:val="24"/>
          <w:szCs w:val="24"/>
        </w:rPr>
        <w:t xml:space="preserve">Chuck Cross, senior vice president of nonbank supervision at CSBS: “Developing processes for clean data transfers will streamline the examination process, benefitting industry and regulators alike.” </w:t>
      </w:r>
    </w:p>
    <w:p w14:paraId="17DD8EB0" w14:textId="056EB8E7" w:rsidR="0042460B" w:rsidRDefault="0042460B" w:rsidP="003961D9">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lastRenderedPageBreak/>
        <w:t>Source</w:t>
      </w:r>
      <w:r w:rsidRPr="0077105F">
        <w:rPr>
          <w:rFonts w:eastAsia="Calibri" w:cstheme="minorHAnsi"/>
          <w:bCs/>
          <w:color w:val="000000"/>
          <w:sz w:val="24"/>
          <w:szCs w:val="24"/>
        </w:rPr>
        <w:t xml:space="preserve"> </w:t>
      </w:r>
      <w:hyperlink r:id="rId71" w:history="1">
        <w:r w:rsidRPr="003961D9">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06330174" w14:textId="77777777" w:rsidR="0042460B" w:rsidRDefault="0042460B" w:rsidP="0042460B">
      <w:pPr>
        <w:tabs>
          <w:tab w:val="left" w:pos="7284"/>
        </w:tabs>
        <w:spacing w:before="120" w:after="120" w:line="259" w:lineRule="auto"/>
        <w:rPr>
          <w:rFonts w:eastAsia="Calibri" w:cstheme="minorHAnsi"/>
          <w:b/>
          <w:bCs/>
          <w:i/>
          <w:color w:val="000000" w:themeColor="text1"/>
          <w:sz w:val="24"/>
          <w:szCs w:val="24"/>
        </w:rPr>
      </w:pPr>
    </w:p>
    <w:p w14:paraId="6DCB6683" w14:textId="0E32B22B" w:rsidR="0042460B" w:rsidRPr="0077105F" w:rsidRDefault="003961D9" w:rsidP="0042460B">
      <w:pPr>
        <w:tabs>
          <w:tab w:val="left" w:pos="7284"/>
        </w:tabs>
        <w:spacing w:before="120" w:after="120" w:line="259" w:lineRule="auto"/>
        <w:rPr>
          <w:rFonts w:eastAsia="Calibri" w:cstheme="minorHAnsi"/>
          <w:b/>
          <w:bCs/>
          <w:i/>
          <w:color w:val="000000" w:themeColor="text1"/>
          <w:sz w:val="24"/>
          <w:szCs w:val="24"/>
        </w:rPr>
      </w:pPr>
      <w:r w:rsidRPr="003961D9">
        <w:rPr>
          <w:rFonts w:eastAsia="Calibri" w:cstheme="minorHAnsi"/>
          <w:b/>
          <w:bCs/>
          <w:i/>
          <w:color w:val="000000" w:themeColor="text1"/>
          <w:sz w:val="24"/>
          <w:szCs w:val="24"/>
        </w:rPr>
        <w:t xml:space="preserve">Community Banker Concerns Shift to Funding </w:t>
      </w:r>
      <w:r w:rsidR="0042460B">
        <w:rPr>
          <w:rFonts w:eastAsia="Calibri" w:cstheme="minorHAnsi"/>
          <w:b/>
          <w:bCs/>
          <w:i/>
          <w:color w:val="000000" w:themeColor="text1"/>
          <w:sz w:val="24"/>
          <w:szCs w:val="24"/>
        </w:rPr>
        <w:t>(</w:t>
      </w:r>
      <w:r>
        <w:rPr>
          <w:rFonts w:eastAsia="Calibri" w:cstheme="minorHAnsi"/>
          <w:b/>
          <w:bCs/>
          <w:i/>
          <w:color w:val="000000" w:themeColor="text1"/>
          <w:sz w:val="24"/>
          <w:szCs w:val="24"/>
        </w:rPr>
        <w:t>10</w:t>
      </w:r>
      <w:r w:rsidR="0042460B">
        <w:rPr>
          <w:rFonts w:eastAsia="Calibri" w:cstheme="minorHAnsi"/>
          <w:b/>
          <w:bCs/>
          <w:i/>
          <w:color w:val="000000" w:themeColor="text1"/>
          <w:sz w:val="24"/>
          <w:szCs w:val="24"/>
        </w:rPr>
        <w:t>.</w:t>
      </w:r>
      <w:r>
        <w:rPr>
          <w:rFonts w:eastAsia="Calibri" w:cstheme="minorHAnsi"/>
          <w:b/>
          <w:bCs/>
          <w:i/>
          <w:color w:val="000000" w:themeColor="text1"/>
          <w:sz w:val="24"/>
          <w:szCs w:val="24"/>
        </w:rPr>
        <w:t>01</w:t>
      </w:r>
      <w:r w:rsidR="0042460B">
        <w:rPr>
          <w:rFonts w:eastAsia="Calibri" w:cstheme="minorHAnsi"/>
          <w:b/>
          <w:bCs/>
          <w:i/>
          <w:color w:val="000000" w:themeColor="text1"/>
          <w:sz w:val="24"/>
          <w:szCs w:val="24"/>
        </w:rPr>
        <w:t>.2019</w:t>
      </w:r>
      <w:r w:rsidR="0042460B" w:rsidRPr="0077105F">
        <w:rPr>
          <w:rFonts w:eastAsia="Calibri" w:cstheme="minorHAnsi"/>
          <w:b/>
          <w:bCs/>
          <w:i/>
          <w:color w:val="000000" w:themeColor="text1"/>
          <w:sz w:val="24"/>
          <w:szCs w:val="24"/>
        </w:rPr>
        <w:t>)</w:t>
      </w:r>
      <w:r w:rsidR="0042460B">
        <w:rPr>
          <w:rFonts w:eastAsia="Calibri" w:cstheme="minorHAnsi"/>
          <w:b/>
          <w:bCs/>
          <w:i/>
          <w:color w:val="000000" w:themeColor="text1"/>
          <w:sz w:val="24"/>
          <w:szCs w:val="24"/>
        </w:rPr>
        <w:t xml:space="preserve"> </w:t>
      </w:r>
    </w:p>
    <w:p w14:paraId="1E95B790" w14:textId="77777777" w:rsidR="003961D9" w:rsidRPr="003961D9" w:rsidRDefault="003961D9" w:rsidP="003961D9">
      <w:pPr>
        <w:spacing w:before="120" w:after="120" w:line="259" w:lineRule="auto"/>
        <w:rPr>
          <w:rFonts w:ascii="Calibri" w:eastAsia="Calibri" w:hAnsi="Calibri" w:cs="Arial"/>
          <w:color w:val="101820"/>
          <w:sz w:val="24"/>
          <w:szCs w:val="24"/>
        </w:rPr>
      </w:pPr>
      <w:r w:rsidRPr="003961D9">
        <w:rPr>
          <w:rFonts w:ascii="Calibri" w:eastAsia="Calibri" w:hAnsi="Calibri" w:cs="Arial"/>
          <w:color w:val="101820"/>
          <w:sz w:val="24"/>
          <w:szCs w:val="24"/>
        </w:rPr>
        <w:t xml:space="preserve">Funding and cybersecurity top the concerns for community banks, according to the sixth annual community bank survey conducted by the Conference of State Bank Supervisors (CSBS). It is a marked shift from previous years, when regulatory compliance costs were found to be the chief issue for community banks.  </w:t>
      </w:r>
    </w:p>
    <w:p w14:paraId="6804715C" w14:textId="77777777" w:rsidR="003961D9" w:rsidRPr="003961D9" w:rsidRDefault="003961D9" w:rsidP="003961D9">
      <w:pPr>
        <w:spacing w:before="120" w:after="120" w:line="259" w:lineRule="auto"/>
        <w:rPr>
          <w:rFonts w:ascii="Calibri" w:eastAsia="Calibri" w:hAnsi="Calibri" w:cs="Arial"/>
          <w:color w:val="101820"/>
          <w:sz w:val="24"/>
          <w:szCs w:val="24"/>
        </w:rPr>
      </w:pPr>
      <w:r w:rsidRPr="003961D9">
        <w:rPr>
          <w:rFonts w:ascii="Calibri" w:eastAsia="Calibri" w:hAnsi="Calibri" w:cs="Arial"/>
          <w:color w:val="101820"/>
          <w:sz w:val="24"/>
          <w:szCs w:val="24"/>
        </w:rPr>
        <w:t xml:space="preserve">This year’s survey showed 36% of banks said funding costs were the most likely factor to influence future profitability, up from 11% in 2016. More than 70% of respondents ranked cybersecurity as their most important risk. Only four percent of surveyed banks said that regulation was most likely to influence profitability, compared to the 60% of respondents who named it as a top concern two years prior.  </w:t>
      </w:r>
    </w:p>
    <w:p w14:paraId="2C696EC9" w14:textId="77777777" w:rsidR="003961D9" w:rsidRPr="003961D9" w:rsidRDefault="003961D9" w:rsidP="003961D9">
      <w:pPr>
        <w:spacing w:before="120" w:after="120" w:line="259" w:lineRule="auto"/>
        <w:rPr>
          <w:rFonts w:ascii="Calibri" w:eastAsia="Calibri" w:hAnsi="Calibri" w:cs="Arial"/>
          <w:color w:val="101820"/>
          <w:sz w:val="24"/>
          <w:szCs w:val="24"/>
        </w:rPr>
      </w:pPr>
      <w:r w:rsidRPr="003961D9">
        <w:rPr>
          <w:rFonts w:ascii="Calibri" w:eastAsia="Calibri" w:hAnsi="Calibri" w:cs="Arial"/>
          <w:color w:val="101820"/>
          <w:sz w:val="24"/>
          <w:szCs w:val="24"/>
        </w:rPr>
        <w:t xml:space="preserve">In its sixth annual survey, CSBS canvassed 571 community banks in 37 states. Other key findings from the 2019 survey include:  </w:t>
      </w:r>
    </w:p>
    <w:p w14:paraId="1FEDD2BC" w14:textId="77777777" w:rsidR="003961D9" w:rsidRPr="003961D9" w:rsidRDefault="003961D9" w:rsidP="003961D9">
      <w:pPr>
        <w:spacing w:before="120" w:after="120" w:line="259" w:lineRule="auto"/>
        <w:rPr>
          <w:rFonts w:ascii="Calibri" w:eastAsia="Calibri" w:hAnsi="Calibri" w:cs="Arial"/>
          <w:color w:val="101820"/>
          <w:sz w:val="24"/>
          <w:szCs w:val="24"/>
        </w:rPr>
      </w:pPr>
      <w:r w:rsidRPr="003961D9">
        <w:rPr>
          <w:rFonts w:ascii="Calibri" w:eastAsia="Calibri" w:hAnsi="Calibri" w:cs="Arial"/>
          <w:color w:val="101820"/>
          <w:sz w:val="24"/>
          <w:szCs w:val="24"/>
        </w:rPr>
        <w:t xml:space="preserve">Compliance-related costs increased 4% in 2018, in contrast to the 13% drop reported the prior year; however, with a total of $4.9 billion, those costs are much lower than the peak of $5.4 billion set in 2016. </w:t>
      </w:r>
    </w:p>
    <w:p w14:paraId="01BA4BCB" w14:textId="77777777" w:rsidR="003961D9" w:rsidRPr="003961D9" w:rsidRDefault="003961D9" w:rsidP="003961D9">
      <w:pPr>
        <w:spacing w:before="120" w:after="120" w:line="259" w:lineRule="auto"/>
        <w:rPr>
          <w:rFonts w:ascii="Calibri" w:eastAsia="Calibri" w:hAnsi="Calibri" w:cs="Arial"/>
          <w:color w:val="101820"/>
          <w:sz w:val="24"/>
          <w:szCs w:val="24"/>
        </w:rPr>
      </w:pPr>
      <w:r w:rsidRPr="003961D9">
        <w:rPr>
          <w:rFonts w:ascii="Calibri" w:eastAsia="Calibri" w:hAnsi="Calibri" w:cs="Arial"/>
          <w:color w:val="101820"/>
          <w:sz w:val="24"/>
          <w:szCs w:val="24"/>
        </w:rPr>
        <w:t xml:space="preserve">Nearly 30% of bankers considered depopulation an important limitation to retaining core deposits.  </w:t>
      </w:r>
    </w:p>
    <w:p w14:paraId="62FA67E3" w14:textId="77777777" w:rsidR="003961D9" w:rsidRPr="003961D9" w:rsidRDefault="003961D9" w:rsidP="003961D9">
      <w:pPr>
        <w:spacing w:before="120" w:after="120" w:line="259" w:lineRule="auto"/>
        <w:rPr>
          <w:rFonts w:ascii="Calibri" w:eastAsia="Calibri" w:hAnsi="Calibri" w:cs="Arial"/>
          <w:color w:val="101820"/>
          <w:sz w:val="24"/>
          <w:szCs w:val="24"/>
        </w:rPr>
      </w:pPr>
      <w:r w:rsidRPr="003961D9">
        <w:rPr>
          <w:rFonts w:ascii="Calibri" w:eastAsia="Calibri" w:hAnsi="Calibri" w:cs="Arial"/>
          <w:color w:val="101820"/>
          <w:sz w:val="24"/>
          <w:szCs w:val="24"/>
        </w:rPr>
        <w:t xml:space="preserve">While last year’s survey showed community banks were embracing technology, the actual number of those offering digital and online services remains largely unchanged due to cost.  </w:t>
      </w:r>
    </w:p>
    <w:p w14:paraId="5EFB0F86" w14:textId="77777777" w:rsidR="003961D9" w:rsidRPr="003961D9" w:rsidRDefault="003961D9" w:rsidP="003961D9">
      <w:pPr>
        <w:spacing w:before="120" w:after="120" w:line="259" w:lineRule="auto"/>
        <w:rPr>
          <w:rFonts w:ascii="Calibri" w:eastAsia="Calibri" w:hAnsi="Calibri" w:cs="Arial"/>
          <w:color w:val="101820"/>
          <w:sz w:val="24"/>
          <w:szCs w:val="24"/>
        </w:rPr>
      </w:pPr>
      <w:r w:rsidRPr="003961D9">
        <w:rPr>
          <w:rFonts w:ascii="Calibri" w:eastAsia="Calibri" w:hAnsi="Calibri" w:cs="Arial"/>
          <w:color w:val="101820"/>
          <w:sz w:val="24"/>
          <w:szCs w:val="24"/>
        </w:rPr>
        <w:t xml:space="preserve">An additional section called “Five Questions for Five Bankers” accompanied the survey, providing context for the national survey results at the state level during the same three-month period. State bank commissioners asked five questions to five community bankers in 30 states.  </w:t>
      </w:r>
    </w:p>
    <w:p w14:paraId="7BC1AD44" w14:textId="77777777" w:rsidR="003961D9" w:rsidRPr="003961D9" w:rsidRDefault="003961D9" w:rsidP="003961D9">
      <w:pPr>
        <w:spacing w:before="120" w:after="120" w:line="259" w:lineRule="auto"/>
        <w:rPr>
          <w:rFonts w:ascii="Calibri" w:eastAsia="Calibri" w:hAnsi="Calibri" w:cs="Arial"/>
          <w:color w:val="101820"/>
          <w:sz w:val="24"/>
          <w:szCs w:val="24"/>
        </w:rPr>
      </w:pPr>
      <w:r w:rsidRPr="003961D9">
        <w:rPr>
          <w:rFonts w:ascii="Calibri" w:eastAsia="Calibri" w:hAnsi="Calibri" w:cs="Arial"/>
          <w:color w:val="101820"/>
          <w:sz w:val="24"/>
          <w:szCs w:val="24"/>
        </w:rPr>
        <w:t xml:space="preserve">The questions addressed the effectiveness of the Economic Growth, Regulatory Relief and Consumer Protection Act, S. 2155 and the community bank business model, funding and liquidity concerns, technology and cybersecurity. </w:t>
      </w:r>
    </w:p>
    <w:p w14:paraId="53102D64" w14:textId="236C84A6" w:rsidR="003961D9" w:rsidRDefault="003961D9" w:rsidP="003961D9">
      <w:pPr>
        <w:spacing w:before="120" w:after="120" w:line="259" w:lineRule="auto"/>
        <w:rPr>
          <w:rFonts w:ascii="Calibri" w:eastAsia="Calibri" w:hAnsi="Calibri" w:cs="Arial"/>
          <w:color w:val="101820"/>
          <w:sz w:val="24"/>
          <w:szCs w:val="24"/>
        </w:rPr>
      </w:pPr>
      <w:r w:rsidRPr="003961D9">
        <w:rPr>
          <w:rFonts w:ascii="Calibri" w:eastAsia="Calibri" w:hAnsi="Calibri" w:cs="Arial"/>
          <w:color w:val="101820"/>
          <w:sz w:val="24"/>
          <w:szCs w:val="24"/>
        </w:rPr>
        <w:t xml:space="preserve">To access the survey report, click </w:t>
      </w:r>
      <w:hyperlink r:id="rId72" w:history="1">
        <w:r w:rsidRPr="003961D9">
          <w:rPr>
            <w:rStyle w:val="Hyperlink"/>
            <w:rFonts w:ascii="Calibri" w:eastAsia="Calibri" w:hAnsi="Calibri" w:cs="Arial"/>
            <w:sz w:val="24"/>
            <w:szCs w:val="24"/>
          </w:rPr>
          <w:t>here</w:t>
        </w:r>
      </w:hyperlink>
      <w:r w:rsidRPr="003961D9">
        <w:rPr>
          <w:rFonts w:ascii="Calibri" w:eastAsia="Calibri" w:hAnsi="Calibri" w:cs="Arial"/>
          <w:color w:val="101820"/>
          <w:sz w:val="24"/>
          <w:szCs w:val="24"/>
        </w:rPr>
        <w:t xml:space="preserve">.  </w:t>
      </w:r>
    </w:p>
    <w:p w14:paraId="46A663B3" w14:textId="0B52872E" w:rsidR="0042460B" w:rsidRDefault="0042460B" w:rsidP="003961D9">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73" w:history="1">
        <w:r w:rsidRPr="003961D9">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784B9FBE" w14:textId="247C3FF6" w:rsidR="0042460B" w:rsidRDefault="0042460B" w:rsidP="0042460B">
      <w:pPr>
        <w:spacing w:before="120" w:after="120" w:line="259" w:lineRule="auto"/>
        <w:rPr>
          <w:rFonts w:eastAsia="Calibri" w:cstheme="minorHAnsi"/>
          <w:b/>
          <w:bCs/>
          <w:i/>
          <w:color w:val="002060"/>
          <w:sz w:val="24"/>
          <w:szCs w:val="24"/>
        </w:rPr>
      </w:pPr>
      <w:r w:rsidRPr="0077105F">
        <w:rPr>
          <w:rFonts w:eastAsia="Calibri" w:cstheme="minorHAnsi"/>
          <w:b/>
          <w:bCs/>
          <w:i/>
          <w:color w:val="002060"/>
          <w:sz w:val="24"/>
          <w:szCs w:val="24"/>
        </w:rPr>
        <w:t xml:space="preserve">Comment: </w:t>
      </w:r>
      <w:r w:rsidR="00020838">
        <w:rPr>
          <w:rFonts w:eastAsia="Calibri" w:cstheme="minorHAnsi"/>
          <w:b/>
          <w:bCs/>
          <w:i/>
          <w:color w:val="002060"/>
          <w:sz w:val="24"/>
          <w:szCs w:val="24"/>
        </w:rPr>
        <w:t xml:space="preserve">Related to funding concerns, competition from credit unions and </w:t>
      </w:r>
      <w:r w:rsidR="000C5BB7">
        <w:rPr>
          <w:rFonts w:eastAsia="Calibri" w:cstheme="minorHAnsi"/>
          <w:b/>
          <w:bCs/>
          <w:i/>
          <w:color w:val="002060"/>
          <w:sz w:val="24"/>
          <w:szCs w:val="24"/>
        </w:rPr>
        <w:t>‘</w:t>
      </w:r>
      <w:r w:rsidR="00020838">
        <w:rPr>
          <w:rFonts w:eastAsia="Calibri" w:cstheme="minorHAnsi"/>
          <w:b/>
          <w:bCs/>
          <w:i/>
          <w:color w:val="002060"/>
          <w:sz w:val="24"/>
          <w:szCs w:val="24"/>
        </w:rPr>
        <w:t xml:space="preserve">expanding </w:t>
      </w:r>
      <w:r w:rsidR="000C5BB7">
        <w:rPr>
          <w:rFonts w:eastAsia="Calibri" w:cstheme="minorHAnsi"/>
          <w:b/>
          <w:bCs/>
          <w:i/>
          <w:color w:val="002060"/>
          <w:sz w:val="24"/>
          <w:szCs w:val="24"/>
        </w:rPr>
        <w:t>fields of membership’ remain a major challenge for community banks</w:t>
      </w:r>
      <w:r>
        <w:rPr>
          <w:rFonts w:eastAsia="Calibri" w:cstheme="minorHAnsi"/>
          <w:b/>
          <w:bCs/>
          <w:i/>
          <w:color w:val="002060"/>
          <w:sz w:val="24"/>
          <w:szCs w:val="24"/>
        </w:rPr>
        <w:t xml:space="preserve">. </w:t>
      </w:r>
    </w:p>
    <w:p w14:paraId="083C3470" w14:textId="77777777" w:rsidR="0042460B" w:rsidRDefault="0042460B" w:rsidP="0042460B">
      <w:pPr>
        <w:spacing w:before="120" w:after="120" w:line="259" w:lineRule="auto"/>
        <w:rPr>
          <w:rFonts w:eastAsia="Calibri" w:cstheme="minorHAnsi"/>
          <w:b/>
          <w:bCs/>
          <w:i/>
          <w:color w:val="002060"/>
          <w:sz w:val="24"/>
          <w:szCs w:val="24"/>
        </w:rPr>
      </w:pPr>
    </w:p>
    <w:p w14:paraId="08B45C45" w14:textId="371FFCDD" w:rsidR="0042460B" w:rsidRPr="0077105F" w:rsidRDefault="00F27604" w:rsidP="0042460B">
      <w:pPr>
        <w:tabs>
          <w:tab w:val="left" w:pos="7284"/>
        </w:tabs>
        <w:spacing w:before="120" w:after="120" w:line="259" w:lineRule="auto"/>
        <w:rPr>
          <w:rFonts w:eastAsia="Calibri" w:cstheme="minorHAnsi"/>
          <w:b/>
          <w:bCs/>
          <w:i/>
          <w:color w:val="000000" w:themeColor="text1"/>
          <w:sz w:val="24"/>
          <w:szCs w:val="24"/>
        </w:rPr>
      </w:pPr>
      <w:r>
        <w:rPr>
          <w:rFonts w:eastAsia="Calibri" w:cstheme="minorHAnsi"/>
          <w:b/>
          <w:bCs/>
          <w:i/>
          <w:color w:val="000000" w:themeColor="text1"/>
          <w:sz w:val="24"/>
          <w:szCs w:val="24"/>
        </w:rPr>
        <w:t xml:space="preserve">CSBS - </w:t>
      </w:r>
      <w:r w:rsidR="003961D9" w:rsidRPr="003961D9">
        <w:rPr>
          <w:rFonts w:eastAsia="Calibri" w:cstheme="minorHAnsi"/>
          <w:b/>
          <w:bCs/>
          <w:i/>
          <w:color w:val="000000" w:themeColor="text1"/>
          <w:sz w:val="24"/>
          <w:szCs w:val="24"/>
        </w:rPr>
        <w:t xml:space="preserve">John Ryan Statement on FDIC's final rule on CBLR </w:t>
      </w:r>
      <w:r w:rsidR="0042460B">
        <w:rPr>
          <w:rFonts w:eastAsia="Calibri" w:cstheme="minorHAnsi"/>
          <w:b/>
          <w:bCs/>
          <w:i/>
          <w:color w:val="000000" w:themeColor="text1"/>
          <w:sz w:val="24"/>
          <w:szCs w:val="24"/>
        </w:rPr>
        <w:t>(</w:t>
      </w:r>
      <w:r w:rsidR="00EB1F0E">
        <w:rPr>
          <w:rFonts w:eastAsia="Calibri" w:cstheme="minorHAnsi"/>
          <w:b/>
          <w:bCs/>
          <w:i/>
          <w:color w:val="000000" w:themeColor="text1"/>
          <w:sz w:val="24"/>
          <w:szCs w:val="24"/>
        </w:rPr>
        <w:t>09</w:t>
      </w:r>
      <w:r w:rsidR="0042460B">
        <w:rPr>
          <w:rFonts w:eastAsia="Calibri" w:cstheme="minorHAnsi"/>
          <w:b/>
          <w:bCs/>
          <w:i/>
          <w:color w:val="000000" w:themeColor="text1"/>
          <w:sz w:val="24"/>
          <w:szCs w:val="24"/>
        </w:rPr>
        <w:t>.</w:t>
      </w:r>
      <w:r w:rsidR="00EB1F0E">
        <w:rPr>
          <w:rFonts w:eastAsia="Calibri" w:cstheme="minorHAnsi"/>
          <w:b/>
          <w:bCs/>
          <w:i/>
          <w:color w:val="000000" w:themeColor="text1"/>
          <w:sz w:val="24"/>
          <w:szCs w:val="24"/>
        </w:rPr>
        <w:t>23</w:t>
      </w:r>
      <w:r w:rsidR="0042460B">
        <w:rPr>
          <w:rFonts w:eastAsia="Calibri" w:cstheme="minorHAnsi"/>
          <w:b/>
          <w:bCs/>
          <w:i/>
          <w:color w:val="000000" w:themeColor="text1"/>
          <w:sz w:val="24"/>
          <w:szCs w:val="24"/>
        </w:rPr>
        <w:t>.2019</w:t>
      </w:r>
      <w:r w:rsidR="0042460B" w:rsidRPr="0077105F">
        <w:rPr>
          <w:rFonts w:eastAsia="Calibri" w:cstheme="minorHAnsi"/>
          <w:b/>
          <w:bCs/>
          <w:i/>
          <w:color w:val="000000" w:themeColor="text1"/>
          <w:sz w:val="24"/>
          <w:szCs w:val="24"/>
        </w:rPr>
        <w:t>)</w:t>
      </w:r>
      <w:r w:rsidR="0042460B">
        <w:rPr>
          <w:rFonts w:eastAsia="Calibri" w:cstheme="minorHAnsi"/>
          <w:b/>
          <w:bCs/>
          <w:i/>
          <w:color w:val="000000" w:themeColor="text1"/>
          <w:sz w:val="24"/>
          <w:szCs w:val="24"/>
        </w:rPr>
        <w:t xml:space="preserve"> </w:t>
      </w:r>
    </w:p>
    <w:p w14:paraId="482F94B3" w14:textId="77777777" w:rsidR="003961D9" w:rsidRDefault="003961D9" w:rsidP="0042460B">
      <w:pPr>
        <w:spacing w:before="120" w:after="120" w:line="259" w:lineRule="auto"/>
        <w:rPr>
          <w:rFonts w:ascii="Calibri" w:eastAsia="Calibri" w:hAnsi="Calibri" w:cs="Arial"/>
          <w:color w:val="101820"/>
          <w:sz w:val="24"/>
          <w:szCs w:val="24"/>
        </w:rPr>
      </w:pPr>
      <w:r w:rsidRPr="003961D9">
        <w:rPr>
          <w:rFonts w:ascii="Calibri" w:eastAsia="Calibri" w:hAnsi="Calibri" w:cs="Arial"/>
          <w:color w:val="101820"/>
          <w:sz w:val="24"/>
          <w:szCs w:val="24"/>
        </w:rPr>
        <w:t>“The final Community Bank Leverage Ratio rule adopted last week by the FDIC included significant changes from the original proposal that grant community banks meaningful relief from capital requirements and ease call report burdens. This is a significant step toward tailoring regulation that frees up community banks to spend more time on serving their communities and less time managing complex capital requirements.”</w:t>
      </w:r>
    </w:p>
    <w:p w14:paraId="017B8D8A" w14:textId="41EF52FF" w:rsidR="0042460B" w:rsidRDefault="0042460B" w:rsidP="0042460B">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74" w:history="1">
        <w:r w:rsidRPr="003961D9">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7BF1A1E0" w14:textId="65EC2218" w:rsidR="0042460B" w:rsidRDefault="0042460B" w:rsidP="0042460B">
      <w:pPr>
        <w:spacing w:before="120" w:after="120" w:line="259" w:lineRule="auto"/>
        <w:rPr>
          <w:rFonts w:eastAsia="Calibri" w:cstheme="minorHAnsi"/>
          <w:b/>
          <w:bCs/>
          <w:i/>
          <w:color w:val="002060"/>
          <w:sz w:val="24"/>
          <w:szCs w:val="24"/>
        </w:rPr>
      </w:pPr>
      <w:r w:rsidRPr="0077105F">
        <w:rPr>
          <w:rFonts w:eastAsia="Calibri" w:cstheme="minorHAnsi"/>
          <w:b/>
          <w:bCs/>
          <w:i/>
          <w:color w:val="002060"/>
          <w:sz w:val="24"/>
          <w:szCs w:val="24"/>
        </w:rPr>
        <w:t xml:space="preserve">Comment: </w:t>
      </w:r>
      <w:r w:rsidR="00020838">
        <w:rPr>
          <w:rFonts w:eastAsia="Calibri" w:cstheme="minorHAnsi"/>
          <w:b/>
          <w:bCs/>
          <w:i/>
          <w:color w:val="002060"/>
          <w:sz w:val="24"/>
          <w:szCs w:val="24"/>
        </w:rPr>
        <w:t>Amen!</w:t>
      </w:r>
      <w:r>
        <w:rPr>
          <w:rFonts w:eastAsia="Calibri" w:cstheme="minorHAnsi"/>
          <w:b/>
          <w:bCs/>
          <w:i/>
          <w:color w:val="002060"/>
          <w:sz w:val="24"/>
          <w:szCs w:val="24"/>
        </w:rPr>
        <w:t xml:space="preserve"> </w:t>
      </w:r>
    </w:p>
    <w:p w14:paraId="6EBD72DD" w14:textId="306F9004" w:rsidR="00B16FD0" w:rsidRPr="00743CB4" w:rsidRDefault="00B16FD0" w:rsidP="00B16FD0">
      <w:pPr>
        <w:spacing w:before="120" w:after="120" w:line="256" w:lineRule="auto"/>
        <w:rPr>
          <w:rFonts w:ascii="Calibri" w:eastAsia="Calibri" w:hAnsi="Calibri" w:cs="Calibri"/>
          <w:bCs/>
          <w:color w:val="000000"/>
          <w:sz w:val="24"/>
          <w:szCs w:val="24"/>
        </w:rPr>
      </w:pPr>
      <w:bookmarkStart w:id="48" w:name="_Toc409519099"/>
      <w:bookmarkStart w:id="49" w:name="_Toc504138798"/>
      <w:bookmarkStart w:id="50" w:name="_Hlk514920426"/>
      <w:bookmarkEnd w:id="46"/>
      <w:bookmarkEnd w:id="47"/>
      <w:r w:rsidRPr="00E575FC">
        <w:rPr>
          <w:rFonts w:ascii="Calibri" w:eastAsia="Calibri" w:hAnsi="Calibri" w:cs="Calibri"/>
          <w:b/>
          <w:bCs/>
          <w:color w:val="000000"/>
          <w:sz w:val="24"/>
          <w:szCs w:val="24"/>
        </w:rPr>
        <w:t>Source</w:t>
      </w:r>
      <w:r w:rsidRPr="00E575FC">
        <w:rPr>
          <w:rFonts w:ascii="Calibri" w:eastAsia="Calibri" w:hAnsi="Calibri" w:cs="Calibri"/>
          <w:bCs/>
          <w:color w:val="000000"/>
          <w:sz w:val="24"/>
          <w:szCs w:val="24"/>
        </w:rPr>
        <w:t xml:space="preserve"> </w:t>
      </w:r>
      <w:hyperlink r:id="rId75" w:history="1">
        <w:r w:rsidRPr="00E575FC">
          <w:rPr>
            <w:rFonts w:ascii="Times New Roman" w:eastAsia="Calibri" w:hAnsi="Times New Roman" w:cs="Calibri"/>
            <w:color w:val="0000FF"/>
            <w:sz w:val="24"/>
            <w:szCs w:val="24"/>
            <w:u w:val="single"/>
          </w:rPr>
          <w:t>link</w:t>
        </w:r>
      </w:hyperlink>
      <w:r w:rsidRPr="00E575FC">
        <w:rPr>
          <w:rFonts w:ascii="Calibri" w:eastAsia="Calibri" w:hAnsi="Calibri" w:cs="Calibri"/>
          <w:bCs/>
          <w:color w:val="000000"/>
          <w:sz w:val="24"/>
          <w:szCs w:val="24"/>
        </w:rPr>
        <w:t xml:space="preserve">. </w:t>
      </w:r>
    </w:p>
    <w:p w14:paraId="52949FE3" w14:textId="77777777" w:rsidR="00063F3D" w:rsidRPr="00436AD8" w:rsidRDefault="00063F3D" w:rsidP="00063F3D">
      <w:pPr>
        <w:pStyle w:val="CCTOCHeading"/>
        <w:spacing w:line="259" w:lineRule="auto"/>
        <w:rPr>
          <w:rFonts w:asciiTheme="minorHAnsi" w:hAnsiTheme="minorHAnsi" w:cstheme="minorHAnsi"/>
        </w:rPr>
      </w:pPr>
      <w:bookmarkStart w:id="51" w:name="_Toc22799380"/>
      <w:r w:rsidRPr="00436AD8">
        <w:rPr>
          <w:rFonts w:asciiTheme="minorHAnsi" w:hAnsiTheme="minorHAnsi" w:cstheme="minorHAnsi"/>
        </w:rPr>
        <w:lastRenderedPageBreak/>
        <w:t>Publications, articles, reports, studies, testimony &amp; speeches</w:t>
      </w:r>
      <w:bookmarkEnd w:id="48"/>
      <w:bookmarkEnd w:id="49"/>
      <w:bookmarkEnd w:id="51"/>
    </w:p>
    <w:p w14:paraId="0D1B97A4" w14:textId="0F6D1DBE" w:rsidR="006C2905" w:rsidRPr="0077105F" w:rsidRDefault="006C2905" w:rsidP="006C2905">
      <w:pPr>
        <w:tabs>
          <w:tab w:val="left" w:pos="7284"/>
        </w:tabs>
        <w:spacing w:before="120" w:after="120" w:line="259" w:lineRule="auto"/>
        <w:rPr>
          <w:rFonts w:eastAsia="Calibri" w:cstheme="minorHAnsi"/>
          <w:b/>
          <w:bCs/>
          <w:i/>
          <w:color w:val="000000" w:themeColor="text1"/>
          <w:sz w:val="24"/>
          <w:szCs w:val="24"/>
        </w:rPr>
      </w:pPr>
      <w:bookmarkStart w:id="52" w:name="_Toc504138799"/>
      <w:bookmarkStart w:id="53" w:name="_Hlk514920434"/>
      <w:bookmarkEnd w:id="50"/>
      <w:r w:rsidRPr="006C2905">
        <w:rPr>
          <w:rFonts w:eastAsia="Calibri" w:cstheme="minorHAnsi"/>
          <w:b/>
          <w:bCs/>
          <w:i/>
          <w:color w:val="000000" w:themeColor="text1"/>
          <w:sz w:val="24"/>
          <w:szCs w:val="24"/>
        </w:rPr>
        <w:t xml:space="preserve">Speech by Vice Chair </w:t>
      </w:r>
      <w:proofErr w:type="spellStart"/>
      <w:r w:rsidRPr="006C2905">
        <w:rPr>
          <w:rFonts w:eastAsia="Calibri" w:cstheme="minorHAnsi"/>
          <w:b/>
          <w:bCs/>
          <w:i/>
          <w:color w:val="000000" w:themeColor="text1"/>
          <w:sz w:val="24"/>
          <w:szCs w:val="24"/>
        </w:rPr>
        <w:t>Clarida</w:t>
      </w:r>
      <w:proofErr w:type="spellEnd"/>
      <w:r w:rsidRPr="006C2905">
        <w:rPr>
          <w:rFonts w:eastAsia="Calibri" w:cstheme="minorHAnsi"/>
          <w:b/>
          <w:bCs/>
          <w:i/>
          <w:color w:val="000000" w:themeColor="text1"/>
          <w:sz w:val="24"/>
          <w:szCs w:val="24"/>
        </w:rPr>
        <w:t xml:space="preserve"> on the U.S. economic outlook and monetary policy </w:t>
      </w:r>
      <w:r>
        <w:rPr>
          <w:rFonts w:eastAsia="Calibri" w:cstheme="minorHAnsi"/>
          <w:b/>
          <w:bCs/>
          <w:i/>
          <w:color w:val="000000" w:themeColor="text1"/>
          <w:sz w:val="24"/>
          <w:szCs w:val="24"/>
        </w:rPr>
        <w:t>(10.18.2019</w:t>
      </w:r>
      <w:r w:rsidRPr="0077105F">
        <w:rPr>
          <w:rFonts w:eastAsia="Calibri" w:cstheme="minorHAnsi"/>
          <w:b/>
          <w:bCs/>
          <w:i/>
          <w:color w:val="000000" w:themeColor="text1"/>
          <w:sz w:val="24"/>
          <w:szCs w:val="24"/>
        </w:rPr>
        <w:t>)</w:t>
      </w:r>
      <w:r>
        <w:rPr>
          <w:rFonts w:eastAsia="Calibri" w:cstheme="minorHAnsi"/>
          <w:b/>
          <w:bCs/>
          <w:i/>
          <w:color w:val="000000" w:themeColor="text1"/>
          <w:sz w:val="24"/>
          <w:szCs w:val="24"/>
        </w:rPr>
        <w:t xml:space="preserve"> </w:t>
      </w:r>
    </w:p>
    <w:p w14:paraId="76951610" w14:textId="77777777" w:rsidR="006C2905" w:rsidRPr="006C2905" w:rsidRDefault="006C2905" w:rsidP="006C2905">
      <w:pPr>
        <w:spacing w:before="120" w:after="120" w:line="259" w:lineRule="auto"/>
        <w:rPr>
          <w:rFonts w:ascii="Calibri" w:eastAsia="Calibri" w:hAnsi="Calibri" w:cs="Arial"/>
          <w:i/>
          <w:iCs/>
          <w:color w:val="101820"/>
          <w:sz w:val="24"/>
          <w:szCs w:val="24"/>
        </w:rPr>
      </w:pPr>
      <w:r w:rsidRPr="006C2905">
        <w:rPr>
          <w:rFonts w:ascii="Calibri" w:eastAsia="Calibri" w:hAnsi="Calibri" w:cs="Arial"/>
          <w:i/>
          <w:iCs/>
          <w:color w:val="101820"/>
          <w:sz w:val="24"/>
          <w:szCs w:val="24"/>
        </w:rPr>
        <w:t>Thank you for the opportunity to participate in this CFA Institute conference on fixed-income management. Before we begin our conversation, I would like to share a few thoughts about the outlook for the U.S. economy and monetary policy.1</w:t>
      </w:r>
    </w:p>
    <w:p w14:paraId="507C5973" w14:textId="77777777" w:rsidR="006C2905" w:rsidRPr="006C2905" w:rsidRDefault="006C2905" w:rsidP="006C2905">
      <w:pPr>
        <w:spacing w:before="120" w:after="120" w:line="259" w:lineRule="auto"/>
        <w:rPr>
          <w:rFonts w:ascii="Calibri" w:eastAsia="Calibri" w:hAnsi="Calibri" w:cs="Arial"/>
          <w:i/>
          <w:iCs/>
          <w:color w:val="101820"/>
          <w:sz w:val="24"/>
          <w:szCs w:val="24"/>
        </w:rPr>
      </w:pPr>
      <w:r w:rsidRPr="006C2905">
        <w:rPr>
          <w:rFonts w:ascii="Calibri" w:eastAsia="Calibri" w:hAnsi="Calibri" w:cs="Arial"/>
          <w:i/>
          <w:iCs/>
          <w:color w:val="101820"/>
          <w:sz w:val="24"/>
          <w:szCs w:val="24"/>
        </w:rPr>
        <w:t>The U.S. economy is in a good place, and the baseline outlook is favorable. The median expectation from Federal Open Market Committee (FOMC) participants' most recent Summary of Economic Projections is for GDP growth to be around 2 percent in 2019, for growth to continue near this pace next year, and for personal consumption expenditures (PCE) inflation to rise gradually to our symmetric 2 percent objective.2 The unemployment rate, at 3.5 percent, is at a half-century low, and wages are rising broadly in line with productivity growth and underlying inflation. There is no evidence to date that a strong labor market is putting excessive cost-push pressure on price inflation.</w:t>
      </w:r>
    </w:p>
    <w:p w14:paraId="4D807182" w14:textId="77777777" w:rsidR="006C2905" w:rsidRPr="006C2905" w:rsidRDefault="006C2905" w:rsidP="006C2905">
      <w:pPr>
        <w:spacing w:before="120" w:after="120" w:line="259" w:lineRule="auto"/>
        <w:rPr>
          <w:rFonts w:ascii="Calibri" w:eastAsia="Calibri" w:hAnsi="Calibri" w:cs="Arial"/>
          <w:i/>
          <w:iCs/>
          <w:color w:val="101820"/>
          <w:sz w:val="24"/>
          <w:szCs w:val="24"/>
        </w:rPr>
      </w:pPr>
      <w:r w:rsidRPr="006C2905">
        <w:rPr>
          <w:rFonts w:ascii="Calibri" w:eastAsia="Calibri" w:hAnsi="Calibri" w:cs="Arial"/>
          <w:i/>
          <w:iCs/>
          <w:color w:val="101820"/>
          <w:sz w:val="24"/>
          <w:szCs w:val="24"/>
        </w:rPr>
        <w:t>But despite this favorable baseline outlook, the U.S. economy confronts some evident risks in this the 11th year of economic expansion. Business fixed investment has slowed notably since last year, exports are contracting on a year-over-year basis, and indicators of manufacturing activity are weakening. Global growth estimates continue to be marked down, and global disinflationary pressures cloud the outlook for U.S. inflation.</w:t>
      </w:r>
    </w:p>
    <w:p w14:paraId="418EF6DF" w14:textId="7F328475" w:rsidR="006C2905" w:rsidRDefault="006C2905" w:rsidP="006C2905">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76" w:history="1">
        <w:r w:rsidRPr="006C2905">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54E5C0A0" w14:textId="77777777" w:rsidR="006C2905" w:rsidRDefault="006C2905" w:rsidP="0042460B">
      <w:pPr>
        <w:tabs>
          <w:tab w:val="left" w:pos="7284"/>
        </w:tabs>
        <w:spacing w:before="120" w:after="120" w:line="259" w:lineRule="auto"/>
        <w:rPr>
          <w:rFonts w:eastAsia="Calibri" w:cstheme="minorHAnsi"/>
          <w:b/>
          <w:bCs/>
          <w:i/>
          <w:color w:val="000000" w:themeColor="text1"/>
          <w:sz w:val="24"/>
          <w:szCs w:val="24"/>
        </w:rPr>
      </w:pPr>
    </w:p>
    <w:p w14:paraId="31E4ACAB" w14:textId="515C16DB" w:rsidR="0042460B" w:rsidRPr="0077105F" w:rsidRDefault="001511E6" w:rsidP="0042460B">
      <w:pPr>
        <w:tabs>
          <w:tab w:val="left" w:pos="7284"/>
        </w:tabs>
        <w:spacing w:before="120" w:after="120" w:line="259" w:lineRule="auto"/>
        <w:rPr>
          <w:rFonts w:eastAsia="Calibri" w:cstheme="minorHAnsi"/>
          <w:b/>
          <w:bCs/>
          <w:i/>
          <w:color w:val="000000" w:themeColor="text1"/>
          <w:sz w:val="24"/>
          <w:szCs w:val="24"/>
        </w:rPr>
      </w:pPr>
      <w:r w:rsidRPr="001511E6">
        <w:rPr>
          <w:rFonts w:eastAsia="Calibri" w:cstheme="minorHAnsi"/>
          <w:b/>
          <w:bCs/>
          <w:i/>
          <w:color w:val="000000" w:themeColor="text1"/>
          <w:sz w:val="24"/>
          <w:szCs w:val="24"/>
        </w:rPr>
        <w:t xml:space="preserve">Industrial Production and Capacity Utilization - G.17 </w:t>
      </w:r>
      <w:r w:rsidR="0042460B">
        <w:rPr>
          <w:rFonts w:eastAsia="Calibri" w:cstheme="minorHAnsi"/>
          <w:b/>
          <w:bCs/>
          <w:i/>
          <w:color w:val="000000" w:themeColor="text1"/>
          <w:sz w:val="24"/>
          <w:szCs w:val="24"/>
        </w:rPr>
        <w:t>(</w:t>
      </w:r>
      <w:r>
        <w:rPr>
          <w:rFonts w:eastAsia="Calibri" w:cstheme="minorHAnsi"/>
          <w:b/>
          <w:bCs/>
          <w:i/>
          <w:color w:val="000000" w:themeColor="text1"/>
          <w:sz w:val="24"/>
          <w:szCs w:val="24"/>
        </w:rPr>
        <w:t>10</w:t>
      </w:r>
      <w:r w:rsidR="0042460B">
        <w:rPr>
          <w:rFonts w:eastAsia="Calibri" w:cstheme="minorHAnsi"/>
          <w:b/>
          <w:bCs/>
          <w:i/>
          <w:color w:val="000000" w:themeColor="text1"/>
          <w:sz w:val="24"/>
          <w:szCs w:val="24"/>
        </w:rPr>
        <w:t>.</w:t>
      </w:r>
      <w:r>
        <w:rPr>
          <w:rFonts w:eastAsia="Calibri" w:cstheme="minorHAnsi"/>
          <w:b/>
          <w:bCs/>
          <w:i/>
          <w:color w:val="000000" w:themeColor="text1"/>
          <w:sz w:val="24"/>
          <w:szCs w:val="24"/>
        </w:rPr>
        <w:t>17</w:t>
      </w:r>
      <w:r w:rsidR="0042460B">
        <w:rPr>
          <w:rFonts w:eastAsia="Calibri" w:cstheme="minorHAnsi"/>
          <w:b/>
          <w:bCs/>
          <w:i/>
          <w:color w:val="000000" w:themeColor="text1"/>
          <w:sz w:val="24"/>
          <w:szCs w:val="24"/>
        </w:rPr>
        <w:t>.2019</w:t>
      </w:r>
      <w:r w:rsidR="0042460B" w:rsidRPr="0077105F">
        <w:rPr>
          <w:rFonts w:eastAsia="Calibri" w:cstheme="minorHAnsi"/>
          <w:b/>
          <w:bCs/>
          <w:i/>
          <w:color w:val="000000" w:themeColor="text1"/>
          <w:sz w:val="24"/>
          <w:szCs w:val="24"/>
        </w:rPr>
        <w:t>)</w:t>
      </w:r>
      <w:r w:rsidR="0042460B">
        <w:rPr>
          <w:rFonts w:eastAsia="Calibri" w:cstheme="minorHAnsi"/>
          <w:b/>
          <w:bCs/>
          <w:i/>
          <w:color w:val="000000" w:themeColor="text1"/>
          <w:sz w:val="24"/>
          <w:szCs w:val="24"/>
        </w:rPr>
        <w:t xml:space="preserve"> </w:t>
      </w:r>
    </w:p>
    <w:p w14:paraId="72969E00" w14:textId="77777777" w:rsidR="001511E6" w:rsidRPr="001511E6" w:rsidRDefault="001511E6" w:rsidP="001511E6">
      <w:pPr>
        <w:spacing w:before="120" w:after="120" w:line="259" w:lineRule="auto"/>
        <w:rPr>
          <w:rFonts w:ascii="Calibri" w:eastAsia="Calibri" w:hAnsi="Calibri" w:cs="Arial"/>
          <w:color w:val="101820"/>
          <w:sz w:val="24"/>
          <w:szCs w:val="24"/>
        </w:rPr>
      </w:pPr>
      <w:r w:rsidRPr="001511E6">
        <w:rPr>
          <w:rFonts w:ascii="Calibri" w:eastAsia="Calibri" w:hAnsi="Calibri" w:cs="Arial"/>
          <w:color w:val="101820"/>
          <w:sz w:val="24"/>
          <w:szCs w:val="24"/>
        </w:rPr>
        <w:t xml:space="preserve">Industrial production fell back 0.4 percent in September after advancing 0.8 percent in August. For the third quarter, industrial production rose at an annual rate of 1.2 percent following declines of about 2 percent in both the first and the second quarters. </w:t>
      </w:r>
    </w:p>
    <w:p w14:paraId="173866A8" w14:textId="77777777" w:rsidR="001511E6" w:rsidRPr="001511E6" w:rsidRDefault="001511E6" w:rsidP="001511E6">
      <w:pPr>
        <w:spacing w:before="120" w:after="120" w:line="259" w:lineRule="auto"/>
        <w:rPr>
          <w:rFonts w:ascii="Calibri" w:eastAsia="Calibri" w:hAnsi="Calibri" w:cs="Arial"/>
          <w:color w:val="101820"/>
          <w:sz w:val="24"/>
          <w:szCs w:val="24"/>
        </w:rPr>
      </w:pPr>
      <w:r w:rsidRPr="001511E6">
        <w:rPr>
          <w:rFonts w:ascii="Calibri" w:eastAsia="Calibri" w:hAnsi="Calibri" w:cs="Arial"/>
          <w:color w:val="101820"/>
          <w:sz w:val="24"/>
          <w:szCs w:val="24"/>
        </w:rPr>
        <w:t xml:space="preserve">Manufacturing production decreased 0.5 percent in September, with output reduced by a strike at a major manufacturer of motor vehicles. Excluding motor vehicles and parts, the overall index and the manufacturing index each moved down 0.2 percent. Mining production fell 1.3 percent, while utilities output rose 1.4 percent. </w:t>
      </w:r>
    </w:p>
    <w:p w14:paraId="090C25BA" w14:textId="77777777" w:rsidR="001511E6" w:rsidRDefault="001511E6" w:rsidP="001511E6">
      <w:pPr>
        <w:spacing w:before="120" w:after="120" w:line="259" w:lineRule="auto"/>
        <w:rPr>
          <w:rFonts w:ascii="Calibri" w:eastAsia="Calibri" w:hAnsi="Calibri" w:cs="Arial"/>
          <w:color w:val="101820"/>
          <w:sz w:val="24"/>
          <w:szCs w:val="24"/>
        </w:rPr>
      </w:pPr>
      <w:r w:rsidRPr="001511E6">
        <w:rPr>
          <w:rFonts w:ascii="Calibri" w:eastAsia="Calibri" w:hAnsi="Calibri" w:cs="Arial"/>
          <w:color w:val="101820"/>
          <w:sz w:val="24"/>
          <w:szCs w:val="24"/>
        </w:rPr>
        <w:t xml:space="preserve">At 109.5 percent of its 2012 average, total industrial production was 0.1 percent lower in September than it was a year earlier. Capacity utilization for the industrial sector decreased 0.4 percentage point in September to 77.5 percent, a rate that is 2.3 percentage points below its long-run (1972–2018) average. </w:t>
      </w:r>
    </w:p>
    <w:p w14:paraId="7F2D6C9E" w14:textId="23AD45FB" w:rsidR="0042460B" w:rsidRDefault="0042460B" w:rsidP="001511E6">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77" w:history="1">
        <w:r w:rsidRPr="001511E6">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5EFAFC98" w14:textId="77777777" w:rsidR="0042460B" w:rsidRDefault="0042460B" w:rsidP="0042460B">
      <w:pPr>
        <w:tabs>
          <w:tab w:val="left" w:pos="7284"/>
        </w:tabs>
        <w:spacing w:before="120" w:after="120" w:line="259" w:lineRule="auto"/>
        <w:rPr>
          <w:rFonts w:eastAsia="Calibri" w:cstheme="minorHAnsi"/>
          <w:b/>
          <w:bCs/>
          <w:i/>
          <w:color w:val="000000" w:themeColor="text1"/>
          <w:sz w:val="24"/>
          <w:szCs w:val="24"/>
        </w:rPr>
      </w:pPr>
    </w:p>
    <w:p w14:paraId="75B2F8B9" w14:textId="2B32B714" w:rsidR="0042460B" w:rsidRPr="0077105F" w:rsidRDefault="003C6833" w:rsidP="0042460B">
      <w:pPr>
        <w:tabs>
          <w:tab w:val="left" w:pos="7284"/>
        </w:tabs>
        <w:spacing w:before="120" w:after="120" w:line="259" w:lineRule="auto"/>
        <w:rPr>
          <w:rFonts w:eastAsia="Calibri" w:cstheme="minorHAnsi"/>
          <w:b/>
          <w:bCs/>
          <w:i/>
          <w:color w:val="000000" w:themeColor="text1"/>
          <w:sz w:val="24"/>
          <w:szCs w:val="24"/>
        </w:rPr>
      </w:pPr>
      <w:r w:rsidRPr="003C6833">
        <w:rPr>
          <w:rFonts w:eastAsia="Calibri" w:cstheme="minorHAnsi"/>
          <w:b/>
          <w:bCs/>
          <w:i/>
          <w:color w:val="000000" w:themeColor="text1"/>
          <w:sz w:val="24"/>
          <w:szCs w:val="24"/>
        </w:rPr>
        <w:t xml:space="preserve">Federal Reserve Board </w:t>
      </w:r>
      <w:r w:rsidR="004568D3" w:rsidRPr="003C6833">
        <w:rPr>
          <w:rFonts w:eastAsia="Calibri" w:cstheme="minorHAnsi"/>
          <w:b/>
          <w:bCs/>
          <w:i/>
          <w:color w:val="000000" w:themeColor="text1"/>
          <w:sz w:val="24"/>
          <w:szCs w:val="24"/>
        </w:rPr>
        <w:t xml:space="preserve">Releases Results </w:t>
      </w:r>
      <w:r w:rsidR="004568D3">
        <w:rPr>
          <w:rFonts w:eastAsia="Calibri" w:cstheme="minorHAnsi"/>
          <w:b/>
          <w:bCs/>
          <w:i/>
          <w:color w:val="000000" w:themeColor="text1"/>
          <w:sz w:val="24"/>
          <w:szCs w:val="24"/>
        </w:rPr>
        <w:t>o</w:t>
      </w:r>
      <w:r w:rsidR="004568D3" w:rsidRPr="003C6833">
        <w:rPr>
          <w:rFonts w:eastAsia="Calibri" w:cstheme="minorHAnsi"/>
          <w:b/>
          <w:bCs/>
          <w:i/>
          <w:color w:val="000000" w:themeColor="text1"/>
          <w:sz w:val="24"/>
          <w:szCs w:val="24"/>
        </w:rPr>
        <w:t xml:space="preserve">f Survey </w:t>
      </w:r>
      <w:r w:rsidR="004568D3">
        <w:rPr>
          <w:rFonts w:eastAsia="Calibri" w:cstheme="minorHAnsi"/>
          <w:b/>
          <w:bCs/>
          <w:i/>
          <w:color w:val="000000" w:themeColor="text1"/>
          <w:sz w:val="24"/>
          <w:szCs w:val="24"/>
        </w:rPr>
        <w:t>o</w:t>
      </w:r>
      <w:r w:rsidR="004568D3" w:rsidRPr="003C6833">
        <w:rPr>
          <w:rFonts w:eastAsia="Calibri" w:cstheme="minorHAnsi"/>
          <w:b/>
          <w:bCs/>
          <w:i/>
          <w:color w:val="000000" w:themeColor="text1"/>
          <w:sz w:val="24"/>
          <w:szCs w:val="24"/>
        </w:rPr>
        <w:t xml:space="preserve">f Senior Financial Officers </w:t>
      </w:r>
      <w:r w:rsidR="004568D3">
        <w:rPr>
          <w:rFonts w:eastAsia="Calibri" w:cstheme="minorHAnsi"/>
          <w:b/>
          <w:bCs/>
          <w:i/>
          <w:color w:val="000000" w:themeColor="text1"/>
          <w:sz w:val="24"/>
          <w:szCs w:val="24"/>
        </w:rPr>
        <w:t>a</w:t>
      </w:r>
      <w:r w:rsidR="004568D3" w:rsidRPr="003C6833">
        <w:rPr>
          <w:rFonts w:eastAsia="Calibri" w:cstheme="minorHAnsi"/>
          <w:b/>
          <w:bCs/>
          <w:i/>
          <w:color w:val="000000" w:themeColor="text1"/>
          <w:sz w:val="24"/>
          <w:szCs w:val="24"/>
        </w:rPr>
        <w:t xml:space="preserve">t Banks About Their Strategies </w:t>
      </w:r>
      <w:r w:rsidR="004568D3">
        <w:rPr>
          <w:rFonts w:eastAsia="Calibri" w:cstheme="minorHAnsi"/>
          <w:b/>
          <w:bCs/>
          <w:i/>
          <w:color w:val="000000" w:themeColor="text1"/>
          <w:sz w:val="24"/>
          <w:szCs w:val="24"/>
        </w:rPr>
        <w:t>a</w:t>
      </w:r>
      <w:r w:rsidR="004568D3" w:rsidRPr="003C6833">
        <w:rPr>
          <w:rFonts w:eastAsia="Calibri" w:cstheme="minorHAnsi"/>
          <w:b/>
          <w:bCs/>
          <w:i/>
          <w:color w:val="000000" w:themeColor="text1"/>
          <w:sz w:val="24"/>
          <w:szCs w:val="24"/>
        </w:rPr>
        <w:t xml:space="preserve">nd Practices </w:t>
      </w:r>
      <w:r w:rsidR="004568D3">
        <w:rPr>
          <w:rFonts w:eastAsia="Calibri" w:cstheme="minorHAnsi"/>
          <w:b/>
          <w:bCs/>
          <w:i/>
          <w:color w:val="000000" w:themeColor="text1"/>
          <w:sz w:val="24"/>
          <w:szCs w:val="24"/>
        </w:rPr>
        <w:t>f</w:t>
      </w:r>
      <w:r w:rsidR="004568D3" w:rsidRPr="003C6833">
        <w:rPr>
          <w:rFonts w:eastAsia="Calibri" w:cstheme="minorHAnsi"/>
          <w:b/>
          <w:bCs/>
          <w:i/>
          <w:color w:val="000000" w:themeColor="text1"/>
          <w:sz w:val="24"/>
          <w:szCs w:val="24"/>
        </w:rPr>
        <w:t xml:space="preserve">or Managing Reserve Balances </w:t>
      </w:r>
      <w:r w:rsidR="0042460B">
        <w:rPr>
          <w:rFonts w:eastAsia="Calibri" w:cstheme="minorHAnsi"/>
          <w:b/>
          <w:bCs/>
          <w:i/>
          <w:color w:val="000000" w:themeColor="text1"/>
          <w:sz w:val="24"/>
          <w:szCs w:val="24"/>
        </w:rPr>
        <w:t>(</w:t>
      </w:r>
      <w:r w:rsidR="007A74BA">
        <w:rPr>
          <w:rFonts w:eastAsia="Calibri" w:cstheme="minorHAnsi"/>
          <w:b/>
          <w:bCs/>
          <w:i/>
          <w:color w:val="000000" w:themeColor="text1"/>
          <w:sz w:val="24"/>
          <w:szCs w:val="24"/>
        </w:rPr>
        <w:t>10</w:t>
      </w:r>
      <w:r w:rsidR="0042460B">
        <w:rPr>
          <w:rFonts w:eastAsia="Calibri" w:cstheme="minorHAnsi"/>
          <w:b/>
          <w:bCs/>
          <w:i/>
          <w:color w:val="000000" w:themeColor="text1"/>
          <w:sz w:val="24"/>
          <w:szCs w:val="24"/>
        </w:rPr>
        <w:t>.</w:t>
      </w:r>
      <w:r w:rsidR="007A74BA">
        <w:rPr>
          <w:rFonts w:eastAsia="Calibri" w:cstheme="minorHAnsi"/>
          <w:b/>
          <w:bCs/>
          <w:i/>
          <w:color w:val="000000" w:themeColor="text1"/>
          <w:sz w:val="24"/>
          <w:szCs w:val="24"/>
        </w:rPr>
        <w:t>17</w:t>
      </w:r>
      <w:r w:rsidR="0042460B">
        <w:rPr>
          <w:rFonts w:eastAsia="Calibri" w:cstheme="minorHAnsi"/>
          <w:b/>
          <w:bCs/>
          <w:i/>
          <w:color w:val="000000" w:themeColor="text1"/>
          <w:sz w:val="24"/>
          <w:szCs w:val="24"/>
        </w:rPr>
        <w:t>.2019</w:t>
      </w:r>
      <w:r w:rsidR="0042460B" w:rsidRPr="0077105F">
        <w:rPr>
          <w:rFonts w:eastAsia="Calibri" w:cstheme="minorHAnsi"/>
          <w:b/>
          <w:bCs/>
          <w:i/>
          <w:color w:val="000000" w:themeColor="text1"/>
          <w:sz w:val="24"/>
          <w:szCs w:val="24"/>
        </w:rPr>
        <w:t>)</w:t>
      </w:r>
      <w:r w:rsidR="0042460B">
        <w:rPr>
          <w:rFonts w:eastAsia="Calibri" w:cstheme="minorHAnsi"/>
          <w:b/>
          <w:bCs/>
          <w:i/>
          <w:color w:val="000000" w:themeColor="text1"/>
          <w:sz w:val="24"/>
          <w:szCs w:val="24"/>
        </w:rPr>
        <w:t xml:space="preserve"> </w:t>
      </w:r>
    </w:p>
    <w:p w14:paraId="1B88CB87" w14:textId="55A6EC2D" w:rsidR="003C6833" w:rsidRDefault="003C6833" w:rsidP="0042460B">
      <w:pPr>
        <w:spacing w:before="120" w:after="120" w:line="259" w:lineRule="auto"/>
        <w:rPr>
          <w:rFonts w:ascii="Calibri" w:eastAsia="Calibri" w:hAnsi="Calibri" w:cs="Arial"/>
          <w:color w:val="101820"/>
          <w:sz w:val="24"/>
          <w:szCs w:val="24"/>
        </w:rPr>
      </w:pPr>
      <w:r w:rsidRPr="003C6833">
        <w:rPr>
          <w:rFonts w:ascii="Calibri" w:eastAsia="Calibri" w:hAnsi="Calibri" w:cs="Arial"/>
          <w:color w:val="101820"/>
          <w:sz w:val="24"/>
          <w:szCs w:val="24"/>
        </w:rPr>
        <w:t xml:space="preserve">The Federal Reserve Board on Thursday released results of a survey of senior financial officers at banks about their strategies and practices for managing reserve balances. The Senior Financial Officer Survey is used by the Board to obtain information about deposit pricing and behavior, bank liability management, the provision of financial services, and reserve management strategies and practices. The most recent survey was conducted in </w:t>
      </w:r>
      <w:r w:rsidRPr="003C6833">
        <w:rPr>
          <w:rFonts w:ascii="Calibri" w:eastAsia="Calibri" w:hAnsi="Calibri" w:cs="Arial"/>
          <w:color w:val="101820"/>
          <w:sz w:val="24"/>
          <w:szCs w:val="24"/>
        </w:rPr>
        <w:lastRenderedPageBreak/>
        <w:t>collaboration with the Federal Reserve Bank of New York between August 6, 2019, and August 20, 2019, and includes responses from banks that held three quarters of total reserve balances at the time of the survey.</w:t>
      </w:r>
    </w:p>
    <w:p w14:paraId="7FBF595A" w14:textId="56FA05FD" w:rsidR="003C6833" w:rsidRDefault="00E5154D" w:rsidP="003C6833">
      <w:pPr>
        <w:spacing w:before="120" w:after="120" w:line="259" w:lineRule="auto"/>
        <w:rPr>
          <w:rFonts w:ascii="Calibri" w:eastAsia="Calibri" w:hAnsi="Calibri" w:cs="Arial"/>
          <w:color w:val="101820"/>
          <w:sz w:val="24"/>
          <w:szCs w:val="24"/>
        </w:rPr>
      </w:pPr>
      <w:hyperlink r:id="rId78" w:history="1">
        <w:r w:rsidR="003C6833" w:rsidRPr="003C6833">
          <w:rPr>
            <w:rStyle w:val="Hyperlink"/>
            <w:rFonts w:ascii="Calibri" w:eastAsia="Calibri" w:hAnsi="Calibri" w:cs="Arial"/>
            <w:sz w:val="24"/>
            <w:szCs w:val="24"/>
          </w:rPr>
          <w:t>Senior Financial Officer Survey (PDF)</w:t>
        </w:r>
      </w:hyperlink>
    </w:p>
    <w:p w14:paraId="1805CECB" w14:textId="0A075079" w:rsidR="0042460B" w:rsidRDefault="0042460B" w:rsidP="0042460B">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79" w:history="1">
        <w:r w:rsidRPr="003C6833">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37FE5D61" w14:textId="77777777" w:rsidR="0042460B" w:rsidRDefault="0042460B" w:rsidP="0042460B">
      <w:pPr>
        <w:spacing w:before="120" w:after="120" w:line="259" w:lineRule="auto"/>
        <w:rPr>
          <w:rFonts w:eastAsia="Calibri" w:cstheme="minorHAnsi"/>
          <w:b/>
          <w:bCs/>
          <w:i/>
          <w:color w:val="002060"/>
          <w:sz w:val="24"/>
          <w:szCs w:val="24"/>
        </w:rPr>
      </w:pPr>
    </w:p>
    <w:p w14:paraId="34512BA1" w14:textId="6E02F6A4" w:rsidR="0042460B" w:rsidRPr="0077105F" w:rsidRDefault="003C6833" w:rsidP="003C6833">
      <w:pPr>
        <w:tabs>
          <w:tab w:val="left" w:pos="7284"/>
        </w:tabs>
        <w:spacing w:before="120" w:after="120" w:line="259" w:lineRule="auto"/>
        <w:rPr>
          <w:rFonts w:eastAsia="Calibri" w:cstheme="minorHAnsi"/>
          <w:b/>
          <w:bCs/>
          <w:i/>
          <w:color w:val="000000" w:themeColor="text1"/>
          <w:sz w:val="24"/>
          <w:szCs w:val="24"/>
        </w:rPr>
      </w:pPr>
      <w:r w:rsidRPr="003C6833">
        <w:rPr>
          <w:rFonts w:eastAsia="Calibri" w:cstheme="minorHAnsi"/>
          <w:b/>
          <w:bCs/>
          <w:i/>
          <w:color w:val="000000" w:themeColor="text1"/>
          <w:sz w:val="24"/>
          <w:szCs w:val="24"/>
        </w:rPr>
        <w:t xml:space="preserve">Digital Currencies, </w:t>
      </w:r>
      <w:proofErr w:type="spellStart"/>
      <w:r w:rsidRPr="003C6833">
        <w:rPr>
          <w:rFonts w:eastAsia="Calibri" w:cstheme="minorHAnsi"/>
          <w:b/>
          <w:bCs/>
          <w:i/>
          <w:color w:val="000000" w:themeColor="text1"/>
          <w:sz w:val="24"/>
          <w:szCs w:val="24"/>
        </w:rPr>
        <w:t>Stablecoins</w:t>
      </w:r>
      <w:proofErr w:type="spellEnd"/>
      <w:r w:rsidRPr="003C6833">
        <w:rPr>
          <w:rFonts w:eastAsia="Calibri" w:cstheme="minorHAnsi"/>
          <w:b/>
          <w:bCs/>
          <w:i/>
          <w:color w:val="000000" w:themeColor="text1"/>
          <w:sz w:val="24"/>
          <w:szCs w:val="24"/>
        </w:rPr>
        <w:t>, and the Evolving Payments Landscape</w:t>
      </w:r>
      <w:r>
        <w:rPr>
          <w:rFonts w:eastAsia="Calibri" w:cstheme="minorHAnsi"/>
          <w:b/>
          <w:bCs/>
          <w:i/>
          <w:color w:val="000000" w:themeColor="text1"/>
          <w:sz w:val="24"/>
          <w:szCs w:val="24"/>
        </w:rPr>
        <w:t xml:space="preserve"> - </w:t>
      </w:r>
      <w:r w:rsidRPr="003C6833">
        <w:rPr>
          <w:rFonts w:eastAsia="Calibri" w:cstheme="minorHAnsi"/>
          <w:b/>
          <w:bCs/>
          <w:i/>
          <w:color w:val="000000" w:themeColor="text1"/>
          <w:sz w:val="24"/>
          <w:szCs w:val="24"/>
        </w:rPr>
        <w:t xml:space="preserve">Governor Lael Brainard </w:t>
      </w:r>
      <w:r w:rsidR="0042460B">
        <w:rPr>
          <w:rFonts w:eastAsia="Calibri" w:cstheme="minorHAnsi"/>
          <w:b/>
          <w:bCs/>
          <w:i/>
          <w:color w:val="000000" w:themeColor="text1"/>
          <w:sz w:val="24"/>
          <w:szCs w:val="24"/>
        </w:rPr>
        <w:t>(</w:t>
      </w:r>
      <w:r>
        <w:rPr>
          <w:rFonts w:eastAsia="Calibri" w:cstheme="minorHAnsi"/>
          <w:b/>
          <w:bCs/>
          <w:i/>
          <w:color w:val="000000" w:themeColor="text1"/>
          <w:sz w:val="24"/>
          <w:szCs w:val="24"/>
        </w:rPr>
        <w:t>10</w:t>
      </w:r>
      <w:r w:rsidR="0042460B">
        <w:rPr>
          <w:rFonts w:eastAsia="Calibri" w:cstheme="minorHAnsi"/>
          <w:b/>
          <w:bCs/>
          <w:i/>
          <w:color w:val="000000" w:themeColor="text1"/>
          <w:sz w:val="24"/>
          <w:szCs w:val="24"/>
        </w:rPr>
        <w:t>.</w:t>
      </w:r>
      <w:r>
        <w:rPr>
          <w:rFonts w:eastAsia="Calibri" w:cstheme="minorHAnsi"/>
          <w:b/>
          <w:bCs/>
          <w:i/>
          <w:color w:val="000000" w:themeColor="text1"/>
          <w:sz w:val="24"/>
          <w:szCs w:val="24"/>
        </w:rPr>
        <w:t>16</w:t>
      </w:r>
      <w:r w:rsidR="0042460B">
        <w:rPr>
          <w:rFonts w:eastAsia="Calibri" w:cstheme="minorHAnsi"/>
          <w:b/>
          <w:bCs/>
          <w:i/>
          <w:color w:val="000000" w:themeColor="text1"/>
          <w:sz w:val="24"/>
          <w:szCs w:val="24"/>
        </w:rPr>
        <w:t>.2019</w:t>
      </w:r>
      <w:r w:rsidR="0042460B" w:rsidRPr="0077105F">
        <w:rPr>
          <w:rFonts w:eastAsia="Calibri" w:cstheme="minorHAnsi"/>
          <w:b/>
          <w:bCs/>
          <w:i/>
          <w:color w:val="000000" w:themeColor="text1"/>
          <w:sz w:val="24"/>
          <w:szCs w:val="24"/>
        </w:rPr>
        <w:t>)</w:t>
      </w:r>
      <w:r w:rsidR="0042460B">
        <w:rPr>
          <w:rFonts w:eastAsia="Calibri" w:cstheme="minorHAnsi"/>
          <w:b/>
          <w:bCs/>
          <w:i/>
          <w:color w:val="000000" w:themeColor="text1"/>
          <w:sz w:val="24"/>
          <w:szCs w:val="24"/>
        </w:rPr>
        <w:t xml:space="preserve"> </w:t>
      </w:r>
    </w:p>
    <w:p w14:paraId="58512E19" w14:textId="77777777" w:rsidR="003C6833" w:rsidRPr="003C6833" w:rsidRDefault="003C6833" w:rsidP="003C6833">
      <w:pPr>
        <w:spacing w:before="120" w:after="120" w:line="259" w:lineRule="auto"/>
        <w:rPr>
          <w:rFonts w:ascii="Calibri" w:eastAsia="Calibri" w:hAnsi="Calibri" w:cs="Arial"/>
          <w:i/>
          <w:iCs/>
          <w:color w:val="101820"/>
          <w:sz w:val="24"/>
          <w:szCs w:val="24"/>
        </w:rPr>
      </w:pPr>
      <w:r w:rsidRPr="003C6833">
        <w:rPr>
          <w:rFonts w:ascii="Calibri" w:eastAsia="Calibri" w:hAnsi="Calibri" w:cs="Arial"/>
          <w:i/>
          <w:iCs/>
          <w:color w:val="101820"/>
          <w:sz w:val="24"/>
          <w:szCs w:val="24"/>
        </w:rPr>
        <w:t xml:space="preserve">Technology is driving rapid change in the way we make payments and in the concept of "money."1 There is a long history of technological advances challenging the prevailing notions of money, from the trading of coins to the use of paper currency, to the electronic debiting and crediting of funds on the accounts of banks. Today, efforts by global </w:t>
      </w:r>
      <w:proofErr w:type="spellStart"/>
      <w:r w:rsidRPr="003C6833">
        <w:rPr>
          <w:rFonts w:ascii="Calibri" w:eastAsia="Calibri" w:hAnsi="Calibri" w:cs="Arial"/>
          <w:i/>
          <w:iCs/>
          <w:color w:val="101820"/>
          <w:sz w:val="24"/>
          <w:szCs w:val="24"/>
        </w:rPr>
        <w:t>stablecoin</w:t>
      </w:r>
      <w:proofErr w:type="spellEnd"/>
      <w:r w:rsidRPr="003C6833">
        <w:rPr>
          <w:rFonts w:ascii="Calibri" w:eastAsia="Calibri" w:hAnsi="Calibri" w:cs="Arial"/>
          <w:i/>
          <w:iCs/>
          <w:color w:val="101820"/>
          <w:sz w:val="24"/>
          <w:szCs w:val="24"/>
        </w:rPr>
        <w:t xml:space="preserve"> networks such as Facebook's Libra to establish the next chapter in the story of money are raising threshold questions about legal and regulatory safeguards, financial stability, and monetary policy. Because of its potential global reach, Facebook's Libra imparts urgency to the debate over what form money can take, who or what can issue it, and how payments can be recorded and settled.2</w:t>
      </w:r>
    </w:p>
    <w:p w14:paraId="3D624B40" w14:textId="77777777" w:rsidR="003C6833" w:rsidRPr="003C6833" w:rsidRDefault="003C6833" w:rsidP="003C6833">
      <w:pPr>
        <w:spacing w:before="120" w:after="120" w:line="259" w:lineRule="auto"/>
        <w:rPr>
          <w:rFonts w:ascii="Calibri" w:eastAsia="Calibri" w:hAnsi="Calibri" w:cs="Arial"/>
          <w:i/>
          <w:iCs/>
          <w:color w:val="101820"/>
          <w:sz w:val="24"/>
          <w:szCs w:val="24"/>
        </w:rPr>
      </w:pPr>
      <w:r w:rsidRPr="003C6833">
        <w:rPr>
          <w:rFonts w:ascii="Calibri" w:eastAsia="Calibri" w:hAnsi="Calibri" w:cs="Arial"/>
          <w:i/>
          <w:iCs/>
          <w:color w:val="101820"/>
          <w:sz w:val="24"/>
          <w:szCs w:val="24"/>
        </w:rPr>
        <w:t>Reassessing Money</w:t>
      </w:r>
    </w:p>
    <w:p w14:paraId="7EEDABBD" w14:textId="77777777" w:rsidR="003C6833" w:rsidRPr="003C6833" w:rsidRDefault="003C6833" w:rsidP="003C6833">
      <w:pPr>
        <w:spacing w:before="120" w:after="120" w:line="259" w:lineRule="auto"/>
        <w:rPr>
          <w:rFonts w:ascii="Calibri" w:eastAsia="Calibri" w:hAnsi="Calibri" w:cs="Arial"/>
          <w:i/>
          <w:iCs/>
          <w:color w:val="101820"/>
          <w:sz w:val="24"/>
          <w:szCs w:val="24"/>
        </w:rPr>
      </w:pPr>
      <w:r w:rsidRPr="003C6833">
        <w:rPr>
          <w:rFonts w:ascii="Calibri" w:eastAsia="Calibri" w:hAnsi="Calibri" w:cs="Arial"/>
          <w:i/>
          <w:iCs/>
          <w:color w:val="101820"/>
          <w:sz w:val="24"/>
          <w:szCs w:val="24"/>
        </w:rPr>
        <w:t>Money has traditionally served three functions.3 Money facilitates payments as a medium of exchange, serves as a store of value that can be relied on for future use, and simplifies transactions by providing a common unit of account to compare the value of goods and services.</w:t>
      </w:r>
    </w:p>
    <w:p w14:paraId="19117DAC" w14:textId="4F0EE701" w:rsidR="003C6833" w:rsidRPr="003C6833" w:rsidRDefault="003C6833" w:rsidP="003C6833">
      <w:pPr>
        <w:spacing w:before="120" w:after="120" w:line="259" w:lineRule="auto"/>
        <w:rPr>
          <w:rFonts w:ascii="Calibri" w:eastAsia="Calibri" w:hAnsi="Calibri" w:cs="Arial"/>
          <w:i/>
          <w:iCs/>
          <w:color w:val="101820"/>
          <w:sz w:val="24"/>
          <w:szCs w:val="24"/>
        </w:rPr>
      </w:pPr>
      <w:r w:rsidRPr="003C6833">
        <w:rPr>
          <w:rFonts w:ascii="Calibri" w:eastAsia="Calibri" w:hAnsi="Calibri" w:cs="Arial"/>
          <w:i/>
          <w:iCs/>
          <w:color w:val="101820"/>
          <w:sz w:val="24"/>
          <w:szCs w:val="24"/>
        </w:rPr>
        <w:t>A decade ago, Bitcoin was heralded as a new kind of digital money that would address frictions in payments as well as serve as a unit of account and store of value without the need for centralized governance. Bitcoin's emergence created an entirely new payment instrument and asset class exchanged over a set of payment rails supported by distributed ledger technology. Distributed ledger technology may allow for a shared, tamper-resistant ledger that can be updated by anyone with sufficient computing power, in contrast to traditional recordkeeping systems built on a single ledger managed by a trusted central entity.4 But Bitcoin and some other early iterations of cryptocurrencies have exhibited extreme volatility, limited throughput capacity, unpredictable transaction costs, limited or no governance, and limited transparency, which have limited their utility as a means of payment and unit of account.</w:t>
      </w:r>
    </w:p>
    <w:p w14:paraId="0860713D" w14:textId="0B086A18" w:rsidR="0042460B" w:rsidRDefault="0042460B" w:rsidP="003C6833">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80" w:history="1">
        <w:r w:rsidRPr="003C6833">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70252152" w14:textId="002CBBF5" w:rsidR="007B5FD3" w:rsidRDefault="007B5FD3" w:rsidP="0042460B">
      <w:pPr>
        <w:spacing w:before="120" w:after="120" w:line="259" w:lineRule="auto"/>
        <w:rPr>
          <w:rFonts w:eastAsia="Calibri" w:cstheme="minorHAnsi"/>
          <w:b/>
          <w:bCs/>
          <w:i/>
          <w:color w:val="002060"/>
          <w:sz w:val="24"/>
          <w:szCs w:val="24"/>
        </w:rPr>
      </w:pPr>
    </w:p>
    <w:p w14:paraId="464D066F" w14:textId="48C9157C" w:rsidR="009F487C" w:rsidRPr="0077105F" w:rsidRDefault="009F487C" w:rsidP="009F487C">
      <w:pPr>
        <w:tabs>
          <w:tab w:val="left" w:pos="7284"/>
        </w:tabs>
        <w:spacing w:before="120" w:after="120" w:line="259" w:lineRule="auto"/>
        <w:rPr>
          <w:rFonts w:eastAsia="Calibri" w:cstheme="minorHAnsi"/>
          <w:b/>
          <w:bCs/>
          <w:i/>
          <w:color w:val="000000" w:themeColor="text1"/>
          <w:sz w:val="24"/>
          <w:szCs w:val="24"/>
        </w:rPr>
      </w:pPr>
      <w:r w:rsidRPr="009F487C">
        <w:rPr>
          <w:rFonts w:eastAsia="Calibri" w:cstheme="minorHAnsi"/>
          <w:b/>
          <w:bCs/>
          <w:i/>
          <w:color w:val="000000" w:themeColor="text1"/>
          <w:sz w:val="24"/>
          <w:szCs w:val="24"/>
        </w:rPr>
        <w:t xml:space="preserve">Consumer Credit - G.19 </w:t>
      </w:r>
      <w:r>
        <w:rPr>
          <w:rFonts w:eastAsia="Calibri" w:cstheme="minorHAnsi"/>
          <w:b/>
          <w:bCs/>
          <w:i/>
          <w:color w:val="000000" w:themeColor="text1"/>
          <w:sz w:val="24"/>
          <w:szCs w:val="24"/>
        </w:rPr>
        <w:t>(10.07.2019</w:t>
      </w:r>
      <w:r w:rsidRPr="0077105F">
        <w:rPr>
          <w:rFonts w:eastAsia="Calibri" w:cstheme="minorHAnsi"/>
          <w:b/>
          <w:bCs/>
          <w:i/>
          <w:color w:val="000000" w:themeColor="text1"/>
          <w:sz w:val="24"/>
          <w:szCs w:val="24"/>
        </w:rPr>
        <w:t>)</w:t>
      </w:r>
      <w:r>
        <w:rPr>
          <w:rFonts w:eastAsia="Calibri" w:cstheme="minorHAnsi"/>
          <w:b/>
          <w:bCs/>
          <w:i/>
          <w:color w:val="000000" w:themeColor="text1"/>
          <w:sz w:val="24"/>
          <w:szCs w:val="24"/>
        </w:rPr>
        <w:t xml:space="preserve"> </w:t>
      </w:r>
    </w:p>
    <w:p w14:paraId="7F459B3A" w14:textId="77777777" w:rsidR="009F487C" w:rsidRDefault="009F487C" w:rsidP="009F487C">
      <w:pPr>
        <w:spacing w:before="120" w:after="120" w:line="259" w:lineRule="auto"/>
        <w:rPr>
          <w:rFonts w:ascii="Calibri" w:eastAsia="Calibri" w:hAnsi="Calibri" w:cs="Arial"/>
          <w:color w:val="101820"/>
          <w:sz w:val="24"/>
          <w:szCs w:val="24"/>
        </w:rPr>
      </w:pPr>
      <w:r w:rsidRPr="009F487C">
        <w:rPr>
          <w:rFonts w:ascii="Calibri" w:eastAsia="Calibri" w:hAnsi="Calibri" w:cs="Arial"/>
          <w:color w:val="101820"/>
          <w:sz w:val="24"/>
          <w:szCs w:val="24"/>
        </w:rPr>
        <w:t xml:space="preserve">In August, consumer credit increased at a seasonally adjusted annual rate of 5-1/4 percent. Revolving credit decreased at an annual rate of 2-1/4 percent, and </w:t>
      </w:r>
      <w:proofErr w:type="spellStart"/>
      <w:r w:rsidRPr="009F487C">
        <w:rPr>
          <w:rFonts w:ascii="Calibri" w:eastAsia="Calibri" w:hAnsi="Calibri" w:cs="Arial"/>
          <w:color w:val="101820"/>
          <w:sz w:val="24"/>
          <w:szCs w:val="24"/>
        </w:rPr>
        <w:t>nonrevoving</w:t>
      </w:r>
      <w:proofErr w:type="spellEnd"/>
      <w:r w:rsidRPr="009F487C">
        <w:rPr>
          <w:rFonts w:ascii="Calibri" w:eastAsia="Calibri" w:hAnsi="Calibri" w:cs="Arial"/>
          <w:color w:val="101820"/>
          <w:sz w:val="24"/>
          <w:szCs w:val="24"/>
        </w:rPr>
        <w:t xml:space="preserve"> credit increased at an annual rate of 7-3/4 percent. </w:t>
      </w:r>
    </w:p>
    <w:p w14:paraId="194288AE" w14:textId="3933A739" w:rsidR="009F487C" w:rsidRPr="000C5BB7" w:rsidRDefault="009F487C" w:rsidP="009F487C">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81" w:history="1">
        <w:r w:rsidRPr="009F487C">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040EC94B" w14:textId="77777777" w:rsidR="009F487C" w:rsidRDefault="009F487C" w:rsidP="004568D3">
      <w:pPr>
        <w:tabs>
          <w:tab w:val="left" w:pos="7284"/>
        </w:tabs>
        <w:spacing w:before="120" w:after="120" w:line="259" w:lineRule="auto"/>
        <w:rPr>
          <w:rFonts w:eastAsia="Calibri" w:cstheme="minorHAnsi"/>
          <w:b/>
          <w:bCs/>
          <w:i/>
          <w:color w:val="000000" w:themeColor="text1"/>
          <w:sz w:val="24"/>
          <w:szCs w:val="24"/>
        </w:rPr>
      </w:pPr>
    </w:p>
    <w:p w14:paraId="53B36B95" w14:textId="0207E5FD" w:rsidR="004568D3" w:rsidRPr="0077105F" w:rsidRDefault="004568D3" w:rsidP="004568D3">
      <w:pPr>
        <w:tabs>
          <w:tab w:val="left" w:pos="7284"/>
        </w:tabs>
        <w:spacing w:before="120" w:after="120" w:line="259" w:lineRule="auto"/>
        <w:rPr>
          <w:rFonts w:eastAsia="Calibri" w:cstheme="minorHAnsi"/>
          <w:b/>
          <w:bCs/>
          <w:i/>
          <w:color w:val="000000" w:themeColor="text1"/>
          <w:sz w:val="24"/>
          <w:szCs w:val="24"/>
        </w:rPr>
      </w:pPr>
      <w:r w:rsidRPr="004568D3">
        <w:rPr>
          <w:rFonts w:eastAsia="Calibri" w:cstheme="minorHAnsi"/>
          <w:b/>
          <w:bCs/>
          <w:i/>
          <w:color w:val="000000" w:themeColor="text1"/>
          <w:sz w:val="24"/>
          <w:szCs w:val="24"/>
        </w:rPr>
        <w:t>Chair Jerome H. Powell</w:t>
      </w:r>
      <w:r>
        <w:rPr>
          <w:rFonts w:eastAsia="Calibri" w:cstheme="minorHAnsi"/>
          <w:b/>
          <w:bCs/>
          <w:i/>
          <w:color w:val="000000" w:themeColor="text1"/>
          <w:sz w:val="24"/>
          <w:szCs w:val="24"/>
        </w:rPr>
        <w:t xml:space="preserve"> - </w:t>
      </w:r>
      <w:r w:rsidRPr="004568D3">
        <w:rPr>
          <w:rFonts w:eastAsia="Calibri" w:cstheme="minorHAnsi"/>
          <w:b/>
          <w:bCs/>
          <w:i/>
          <w:color w:val="000000" w:themeColor="text1"/>
          <w:sz w:val="24"/>
          <w:szCs w:val="24"/>
        </w:rPr>
        <w:t xml:space="preserve">"Perspectives on Maximum Employment and Price Stability" </w:t>
      </w:r>
      <w:r>
        <w:rPr>
          <w:rFonts w:eastAsia="Calibri" w:cstheme="minorHAnsi"/>
          <w:b/>
          <w:bCs/>
          <w:i/>
          <w:color w:val="000000" w:themeColor="text1"/>
          <w:sz w:val="24"/>
          <w:szCs w:val="24"/>
        </w:rPr>
        <w:t>(10.04.2019</w:t>
      </w:r>
      <w:r w:rsidRPr="0077105F">
        <w:rPr>
          <w:rFonts w:eastAsia="Calibri" w:cstheme="minorHAnsi"/>
          <w:b/>
          <w:bCs/>
          <w:i/>
          <w:color w:val="000000" w:themeColor="text1"/>
          <w:sz w:val="24"/>
          <w:szCs w:val="24"/>
        </w:rPr>
        <w:t>)</w:t>
      </w:r>
      <w:r>
        <w:rPr>
          <w:rFonts w:eastAsia="Calibri" w:cstheme="minorHAnsi"/>
          <w:b/>
          <w:bCs/>
          <w:i/>
          <w:color w:val="000000" w:themeColor="text1"/>
          <w:sz w:val="24"/>
          <w:szCs w:val="24"/>
        </w:rPr>
        <w:t xml:space="preserve"> </w:t>
      </w:r>
    </w:p>
    <w:p w14:paraId="22836AE2" w14:textId="77777777" w:rsidR="004568D3" w:rsidRPr="004568D3" w:rsidRDefault="004568D3" w:rsidP="004568D3">
      <w:pPr>
        <w:spacing w:before="120" w:after="120" w:line="259" w:lineRule="auto"/>
        <w:rPr>
          <w:rFonts w:ascii="Calibri" w:eastAsia="Calibri" w:hAnsi="Calibri" w:cs="Arial"/>
          <w:i/>
          <w:iCs/>
          <w:color w:val="101820"/>
          <w:sz w:val="24"/>
          <w:szCs w:val="24"/>
        </w:rPr>
      </w:pPr>
      <w:r w:rsidRPr="004568D3">
        <w:rPr>
          <w:rFonts w:ascii="Calibri" w:eastAsia="Calibri" w:hAnsi="Calibri" w:cs="Arial"/>
          <w:i/>
          <w:iCs/>
          <w:color w:val="101820"/>
          <w:sz w:val="24"/>
          <w:szCs w:val="24"/>
        </w:rPr>
        <w:t xml:space="preserve">Good afternoon. Welcome to the room where members of the Board of Governors and the presidents of the 12 Reserve Banks meet eight times a year—most recently, two weeks ago—to decide the stance of monetary policy. It's a magnificent, formal—perhaps even imposing—room, with 26-foot ceilings, a monumental marble fireplace, and a 1,000-pound brass and glass chandelier. It's seen a lot of history since Franklin Roosevelt </w:t>
      </w:r>
      <w:r w:rsidRPr="004568D3">
        <w:rPr>
          <w:rFonts w:ascii="Calibri" w:eastAsia="Calibri" w:hAnsi="Calibri" w:cs="Arial"/>
          <w:i/>
          <w:iCs/>
          <w:color w:val="101820"/>
          <w:sz w:val="24"/>
          <w:szCs w:val="24"/>
        </w:rPr>
        <w:lastRenderedPageBreak/>
        <w:t xml:space="preserve">dedicated this building in 1937. British and American military leaders conferred here during World War II. And, through the decades, our Federal Reserve predecessors grappled with financial turmoil and the economy's ups and downs. </w:t>
      </w:r>
      <w:proofErr w:type="gramStart"/>
      <w:r w:rsidRPr="004568D3">
        <w:rPr>
          <w:rFonts w:ascii="Calibri" w:eastAsia="Calibri" w:hAnsi="Calibri" w:cs="Arial"/>
          <w:i/>
          <w:iCs/>
          <w:color w:val="101820"/>
          <w:sz w:val="24"/>
          <w:szCs w:val="24"/>
        </w:rPr>
        <w:t>So</w:t>
      </w:r>
      <w:proofErr w:type="gramEnd"/>
      <w:r w:rsidRPr="004568D3">
        <w:rPr>
          <w:rFonts w:ascii="Calibri" w:eastAsia="Calibri" w:hAnsi="Calibri" w:cs="Arial"/>
          <w:i/>
          <w:iCs/>
          <w:color w:val="101820"/>
          <w:sz w:val="24"/>
          <w:szCs w:val="24"/>
        </w:rPr>
        <w:t xml:space="preserve"> when my colleagues and I take our assigned places around this polished mahogany and granite table, the setting and its history lends a certain formality—dare I say, stuffiness—to the proceedings.</w:t>
      </w:r>
    </w:p>
    <w:p w14:paraId="26A82EC7" w14:textId="77777777" w:rsidR="004568D3" w:rsidRPr="004568D3" w:rsidRDefault="004568D3" w:rsidP="004568D3">
      <w:pPr>
        <w:spacing w:before="120" w:after="120" w:line="259" w:lineRule="auto"/>
        <w:rPr>
          <w:rFonts w:ascii="Calibri" w:eastAsia="Calibri" w:hAnsi="Calibri" w:cs="Arial"/>
          <w:i/>
          <w:iCs/>
          <w:color w:val="101820"/>
          <w:sz w:val="24"/>
          <w:szCs w:val="24"/>
        </w:rPr>
      </w:pPr>
      <w:r w:rsidRPr="004568D3">
        <w:rPr>
          <w:rFonts w:ascii="Calibri" w:eastAsia="Calibri" w:hAnsi="Calibri" w:cs="Arial"/>
          <w:i/>
          <w:iCs/>
          <w:color w:val="101820"/>
          <w:sz w:val="24"/>
          <w:szCs w:val="24"/>
        </w:rPr>
        <w:t xml:space="preserve">As we kick off this 12th of 14 Fed Listens events, Governor Brainard, Governor Bowman, and I hope that today's meeting is anything but stuffy. Candid and serious, yes. But not stuffy. The Reserve Banks and the Board have been holding Fed Listens events around the country as part of a comprehensive and public review of our monetary policy strategy, tools, and communications practices. Almost all of the Fed Listens meetings, like this one, have been open to the press and </w:t>
      </w:r>
      <w:proofErr w:type="gramStart"/>
      <w:r w:rsidRPr="004568D3">
        <w:rPr>
          <w:rFonts w:ascii="Calibri" w:eastAsia="Calibri" w:hAnsi="Calibri" w:cs="Arial"/>
          <w:i/>
          <w:iCs/>
          <w:color w:val="101820"/>
          <w:sz w:val="24"/>
          <w:szCs w:val="24"/>
        </w:rPr>
        <w:t>live-streamed</w:t>
      </w:r>
      <w:proofErr w:type="gramEnd"/>
      <w:r w:rsidRPr="004568D3">
        <w:rPr>
          <w:rFonts w:ascii="Calibri" w:eastAsia="Calibri" w:hAnsi="Calibri" w:cs="Arial"/>
          <w:i/>
          <w:iCs/>
          <w:color w:val="101820"/>
          <w:sz w:val="24"/>
          <w:szCs w:val="24"/>
        </w:rPr>
        <w:t xml:space="preserve"> on the internet. Both the breadth and transparency of the review are unprecedented for us.</w:t>
      </w:r>
    </w:p>
    <w:p w14:paraId="26F2F719" w14:textId="77777777" w:rsidR="004568D3" w:rsidRPr="004568D3" w:rsidRDefault="004568D3" w:rsidP="004568D3">
      <w:pPr>
        <w:spacing w:before="120" w:after="120" w:line="259" w:lineRule="auto"/>
        <w:rPr>
          <w:rFonts w:ascii="Calibri" w:eastAsia="Calibri" w:hAnsi="Calibri" w:cs="Arial"/>
          <w:i/>
          <w:iCs/>
          <w:color w:val="101820"/>
          <w:sz w:val="24"/>
          <w:szCs w:val="24"/>
        </w:rPr>
      </w:pPr>
      <w:r w:rsidRPr="004568D3">
        <w:rPr>
          <w:rFonts w:ascii="Calibri" w:eastAsia="Calibri" w:hAnsi="Calibri" w:cs="Arial"/>
          <w:i/>
          <w:iCs/>
          <w:color w:val="101820"/>
          <w:sz w:val="24"/>
          <w:szCs w:val="24"/>
        </w:rPr>
        <w:t>One reason we are conducting this review is that it is always a good practice for any organization to occasionally take a step back and ask if it could be doing its job more effectively. But we must pose that question not just to ourselves. Because Congress has granted the Federal Reserve significant protections from short-term political pressures, we have an obligation to clearly explain what we are doing and why. And we have an obligation to actively engage the people we serve so that they and their elected representatives can hold us accountable.</w:t>
      </w:r>
    </w:p>
    <w:p w14:paraId="328837A3" w14:textId="511571E9" w:rsidR="004568D3" w:rsidRDefault="004568D3" w:rsidP="004568D3">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82" w:history="1">
        <w:r w:rsidRPr="004568D3">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109D55CC" w14:textId="77777777" w:rsidR="004568D3" w:rsidRDefault="004568D3" w:rsidP="0042460B">
      <w:pPr>
        <w:spacing w:before="120" w:after="120" w:line="259" w:lineRule="auto"/>
        <w:rPr>
          <w:rFonts w:eastAsia="Calibri" w:cstheme="minorHAnsi"/>
          <w:b/>
          <w:bCs/>
          <w:i/>
          <w:color w:val="002060"/>
          <w:sz w:val="24"/>
          <w:szCs w:val="24"/>
        </w:rPr>
      </w:pPr>
    </w:p>
    <w:p w14:paraId="215AE55E" w14:textId="7DD4773B" w:rsidR="007B5FD3" w:rsidRPr="0077105F" w:rsidRDefault="007B5FD3" w:rsidP="007B5FD3">
      <w:pPr>
        <w:tabs>
          <w:tab w:val="left" w:pos="7284"/>
        </w:tabs>
        <w:spacing w:before="120" w:after="120" w:line="259" w:lineRule="auto"/>
        <w:rPr>
          <w:rFonts w:eastAsia="Calibri" w:cstheme="minorHAnsi"/>
          <w:b/>
          <w:bCs/>
          <w:i/>
          <w:color w:val="000000" w:themeColor="text1"/>
          <w:sz w:val="24"/>
          <w:szCs w:val="24"/>
        </w:rPr>
      </w:pPr>
      <w:r w:rsidRPr="007B5FD3">
        <w:rPr>
          <w:rFonts w:eastAsia="Calibri" w:cstheme="minorHAnsi"/>
          <w:b/>
          <w:bCs/>
          <w:i/>
          <w:color w:val="000000" w:themeColor="text1"/>
          <w:sz w:val="24"/>
          <w:szCs w:val="24"/>
        </w:rPr>
        <w:t>Advancing Our Understanding of Community Banking</w:t>
      </w:r>
      <w:r>
        <w:rPr>
          <w:rFonts w:eastAsia="Calibri" w:cstheme="minorHAnsi"/>
          <w:b/>
          <w:bCs/>
          <w:i/>
          <w:color w:val="000000" w:themeColor="text1"/>
          <w:sz w:val="24"/>
          <w:szCs w:val="24"/>
        </w:rPr>
        <w:t xml:space="preserve"> - </w:t>
      </w:r>
      <w:r w:rsidRPr="007B5FD3">
        <w:rPr>
          <w:rFonts w:eastAsia="Calibri" w:cstheme="minorHAnsi"/>
          <w:b/>
          <w:bCs/>
          <w:i/>
          <w:color w:val="000000" w:themeColor="text1"/>
          <w:sz w:val="24"/>
          <w:szCs w:val="24"/>
        </w:rPr>
        <w:t xml:space="preserve">Governor Michelle W. Bowman </w:t>
      </w:r>
      <w:r>
        <w:rPr>
          <w:rFonts w:eastAsia="Calibri" w:cstheme="minorHAnsi"/>
          <w:b/>
          <w:bCs/>
          <w:i/>
          <w:color w:val="000000" w:themeColor="text1"/>
          <w:sz w:val="24"/>
          <w:szCs w:val="24"/>
        </w:rPr>
        <w:t>(10.01.2019</w:t>
      </w:r>
      <w:r w:rsidRPr="0077105F">
        <w:rPr>
          <w:rFonts w:eastAsia="Calibri" w:cstheme="minorHAnsi"/>
          <w:b/>
          <w:bCs/>
          <w:i/>
          <w:color w:val="000000" w:themeColor="text1"/>
          <w:sz w:val="24"/>
          <w:szCs w:val="24"/>
        </w:rPr>
        <w:t>)</w:t>
      </w:r>
      <w:r>
        <w:rPr>
          <w:rFonts w:eastAsia="Calibri" w:cstheme="minorHAnsi"/>
          <w:b/>
          <w:bCs/>
          <w:i/>
          <w:color w:val="000000" w:themeColor="text1"/>
          <w:sz w:val="24"/>
          <w:szCs w:val="24"/>
        </w:rPr>
        <w:t xml:space="preserve"> </w:t>
      </w:r>
    </w:p>
    <w:p w14:paraId="32C05857" w14:textId="77777777" w:rsidR="007B5FD3" w:rsidRPr="007B5FD3" w:rsidRDefault="007B5FD3" w:rsidP="007B5FD3">
      <w:pPr>
        <w:spacing w:before="120" w:after="120" w:line="259" w:lineRule="auto"/>
        <w:rPr>
          <w:rFonts w:ascii="Calibri" w:eastAsia="Calibri" w:hAnsi="Calibri" w:cs="Arial"/>
          <w:i/>
          <w:iCs/>
          <w:color w:val="101820"/>
          <w:sz w:val="24"/>
          <w:szCs w:val="24"/>
        </w:rPr>
      </w:pPr>
      <w:r w:rsidRPr="007B5FD3">
        <w:rPr>
          <w:rFonts w:ascii="Calibri" w:eastAsia="Calibri" w:hAnsi="Calibri" w:cs="Arial"/>
          <w:i/>
          <w:iCs/>
          <w:color w:val="101820"/>
          <w:sz w:val="24"/>
          <w:szCs w:val="24"/>
        </w:rPr>
        <w:t>It is a special honor for me to be part of this conference and its tradition of advancing our understanding of how banking shapes our economy and our communities.1 As a community banker, I sought out actionable research that I could leverage to better serve my customers and my community. As a state bank regulator, I conducted my own research to answer questions about issues affecting the banks my agency regulated. I also appreciated learning what researchers thought would provide better insight into the industry. Today I am honored to be here as the first person to serve on the Federal Reserve Board in the role that the Congress designated for someone with community banking or state supervisory experience. My work at the Board has given me an even greater appreciation for how creative, insightful research informs and shapes policy decisions that support our economy. But it also tells me there is still much to be learned and many additional areas that deserve more exploration.</w:t>
      </w:r>
    </w:p>
    <w:p w14:paraId="1809BEAD" w14:textId="77777777" w:rsidR="007B5FD3" w:rsidRPr="007B5FD3" w:rsidRDefault="007B5FD3" w:rsidP="007B5FD3">
      <w:pPr>
        <w:spacing w:before="120" w:after="120" w:line="259" w:lineRule="auto"/>
        <w:rPr>
          <w:rFonts w:ascii="Calibri" w:eastAsia="Calibri" w:hAnsi="Calibri" w:cs="Arial"/>
          <w:i/>
          <w:iCs/>
          <w:color w:val="101820"/>
          <w:sz w:val="24"/>
          <w:szCs w:val="24"/>
        </w:rPr>
      </w:pPr>
      <w:r w:rsidRPr="007B5FD3">
        <w:rPr>
          <w:rFonts w:ascii="Calibri" w:eastAsia="Calibri" w:hAnsi="Calibri" w:cs="Arial"/>
          <w:i/>
          <w:iCs/>
          <w:color w:val="101820"/>
          <w:sz w:val="24"/>
          <w:szCs w:val="24"/>
        </w:rPr>
        <w:t xml:space="preserve">More than 10 years on, as the entire banking industry continues to evolve post-crisis, I would like to share with you some of my thoughts and observations on the forces influencing the future of banking, and community </w:t>
      </w:r>
      <w:proofErr w:type="gramStart"/>
      <w:r w:rsidRPr="007B5FD3">
        <w:rPr>
          <w:rFonts w:ascii="Calibri" w:eastAsia="Calibri" w:hAnsi="Calibri" w:cs="Arial"/>
          <w:i/>
          <w:iCs/>
          <w:color w:val="101820"/>
          <w:sz w:val="24"/>
          <w:szCs w:val="24"/>
        </w:rPr>
        <w:t>banking in particular</w:t>
      </w:r>
      <w:proofErr w:type="gramEnd"/>
      <w:r w:rsidRPr="007B5FD3">
        <w:rPr>
          <w:rFonts w:ascii="Calibri" w:eastAsia="Calibri" w:hAnsi="Calibri" w:cs="Arial"/>
          <w:i/>
          <w:iCs/>
          <w:color w:val="101820"/>
          <w:sz w:val="24"/>
          <w:szCs w:val="24"/>
        </w:rPr>
        <w:t>. I will also suggest some areas where policymakers could use the help of researchers, bankers, and state supervisors to better understand how community banking is changing and how we can better provide a path for the continued viability of this sector and its business model.</w:t>
      </w:r>
    </w:p>
    <w:p w14:paraId="48E4A7BF" w14:textId="77777777" w:rsidR="007B5FD3" w:rsidRPr="007B5FD3" w:rsidRDefault="007B5FD3" w:rsidP="007B5FD3">
      <w:pPr>
        <w:spacing w:before="120" w:after="120" w:line="259" w:lineRule="auto"/>
        <w:rPr>
          <w:rFonts w:ascii="Calibri" w:eastAsia="Calibri" w:hAnsi="Calibri" w:cs="Arial"/>
          <w:i/>
          <w:iCs/>
          <w:color w:val="101820"/>
          <w:sz w:val="24"/>
          <w:szCs w:val="24"/>
        </w:rPr>
      </w:pPr>
      <w:r w:rsidRPr="007B5FD3">
        <w:rPr>
          <w:rFonts w:ascii="Calibri" w:eastAsia="Calibri" w:hAnsi="Calibri" w:cs="Arial"/>
          <w:i/>
          <w:iCs/>
          <w:color w:val="101820"/>
          <w:sz w:val="24"/>
          <w:szCs w:val="24"/>
        </w:rPr>
        <w:t>I hardly need to tell this audience that community banks play a vital role in the financial services industry and in the economy. From my perspective, the Federal Reserve supports community banks as a central component of a strong, resilient, and stable financial system. Our system is made more resilient through a broad and varied range of institutions serving different types of customers, with community banks providing access to credit and other financial services in towns and cities across America. With the support of community bankers, these investments are the building blocks of a strong community and help support a vibrant economy across the country—from here in the Midwest to the coasts on either side.</w:t>
      </w:r>
    </w:p>
    <w:p w14:paraId="1DA84714" w14:textId="77777777" w:rsidR="007B5FD3" w:rsidRPr="007B5FD3" w:rsidRDefault="007B5FD3" w:rsidP="007B5FD3">
      <w:pPr>
        <w:spacing w:before="120" w:after="120" w:line="259" w:lineRule="auto"/>
        <w:rPr>
          <w:rFonts w:ascii="Calibri" w:eastAsia="Calibri" w:hAnsi="Calibri" w:cs="Arial"/>
          <w:i/>
          <w:iCs/>
          <w:color w:val="101820"/>
          <w:sz w:val="24"/>
          <w:szCs w:val="24"/>
        </w:rPr>
      </w:pPr>
      <w:r w:rsidRPr="007B5FD3">
        <w:rPr>
          <w:rFonts w:ascii="Calibri" w:eastAsia="Calibri" w:hAnsi="Calibri" w:cs="Arial"/>
          <w:i/>
          <w:iCs/>
          <w:color w:val="101820"/>
          <w:sz w:val="24"/>
          <w:szCs w:val="24"/>
        </w:rPr>
        <w:lastRenderedPageBreak/>
        <w:t>Research on community banking and the accessibility of financial services is incredibly important. Community bankers and policymakers want to better understand how technology, competition, regulation, and other factors are driving decision making, consolidation, and the other challenges and opportunities that are shaping community banking. Existing research provides us with some answers to these questions, but there are many gaps. The lack of a full understanding of these institutions, their functionality, and their needs may limit our ability to identify important areas of focus for research.</w:t>
      </w:r>
    </w:p>
    <w:p w14:paraId="15BFAB4E" w14:textId="52A19F60" w:rsidR="007B5FD3" w:rsidRDefault="007B5FD3" w:rsidP="007B5FD3">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83" w:history="1">
        <w:r w:rsidRPr="007B5FD3">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25556477" w14:textId="57FBF8BA" w:rsidR="00113F97" w:rsidRDefault="00113F97" w:rsidP="007B5FD3">
      <w:pPr>
        <w:spacing w:before="120" w:after="120" w:line="259" w:lineRule="auto"/>
        <w:rPr>
          <w:rFonts w:eastAsia="Calibri" w:cstheme="minorHAnsi"/>
          <w:b/>
          <w:bCs/>
          <w:i/>
          <w:color w:val="002060"/>
          <w:sz w:val="24"/>
          <w:szCs w:val="24"/>
        </w:rPr>
      </w:pPr>
    </w:p>
    <w:p w14:paraId="2113D7A2" w14:textId="220833F9" w:rsidR="00113F97" w:rsidRPr="0077105F" w:rsidRDefault="00113F97" w:rsidP="00113F97">
      <w:pPr>
        <w:tabs>
          <w:tab w:val="left" w:pos="7284"/>
        </w:tabs>
        <w:spacing w:before="120" w:after="120" w:line="259" w:lineRule="auto"/>
        <w:rPr>
          <w:rFonts w:eastAsia="Calibri" w:cstheme="minorHAnsi"/>
          <w:b/>
          <w:bCs/>
          <w:i/>
          <w:color w:val="000000" w:themeColor="text1"/>
          <w:sz w:val="24"/>
          <w:szCs w:val="24"/>
        </w:rPr>
      </w:pPr>
      <w:bookmarkStart w:id="54" w:name="_Hlk22557728"/>
      <w:r w:rsidRPr="00113F97">
        <w:rPr>
          <w:rFonts w:eastAsia="Calibri" w:cstheme="minorHAnsi"/>
          <w:b/>
          <w:bCs/>
          <w:i/>
          <w:color w:val="000000" w:themeColor="text1"/>
          <w:sz w:val="24"/>
          <w:szCs w:val="24"/>
        </w:rPr>
        <w:t xml:space="preserve">Midwest Economy Index </w:t>
      </w:r>
      <w:r>
        <w:rPr>
          <w:rFonts w:eastAsia="Calibri" w:cstheme="minorHAnsi"/>
          <w:b/>
          <w:bCs/>
          <w:i/>
          <w:color w:val="000000" w:themeColor="text1"/>
          <w:sz w:val="24"/>
          <w:szCs w:val="24"/>
        </w:rPr>
        <w:t>(09.30.2019</w:t>
      </w:r>
      <w:r w:rsidRPr="0077105F">
        <w:rPr>
          <w:rFonts w:eastAsia="Calibri" w:cstheme="minorHAnsi"/>
          <w:b/>
          <w:bCs/>
          <w:i/>
          <w:color w:val="000000" w:themeColor="text1"/>
          <w:sz w:val="24"/>
          <w:szCs w:val="24"/>
        </w:rPr>
        <w:t>)</w:t>
      </w:r>
      <w:r>
        <w:rPr>
          <w:rFonts w:eastAsia="Calibri" w:cstheme="minorHAnsi"/>
          <w:b/>
          <w:bCs/>
          <w:i/>
          <w:color w:val="000000" w:themeColor="text1"/>
          <w:sz w:val="24"/>
          <w:szCs w:val="24"/>
        </w:rPr>
        <w:t xml:space="preserve"> </w:t>
      </w:r>
    </w:p>
    <w:p w14:paraId="7EB6BCD9" w14:textId="4377D41B" w:rsidR="00113F97" w:rsidRDefault="00113F97" w:rsidP="00113F97">
      <w:pPr>
        <w:spacing w:before="120" w:after="120" w:line="259" w:lineRule="auto"/>
        <w:rPr>
          <w:rFonts w:ascii="Calibri" w:eastAsia="Calibri" w:hAnsi="Calibri" w:cs="Arial"/>
          <w:color w:val="101820"/>
          <w:sz w:val="24"/>
          <w:szCs w:val="24"/>
        </w:rPr>
      </w:pPr>
      <w:r w:rsidRPr="00113F97">
        <w:rPr>
          <w:rFonts w:ascii="Calibri" w:eastAsia="Calibri" w:hAnsi="Calibri" w:cs="Arial"/>
          <w:color w:val="101820"/>
          <w:sz w:val="24"/>
          <w:szCs w:val="24"/>
        </w:rPr>
        <w:t>The Midwest Economy Index (MEI) moved up to –0.26 in August from –0.37 in July. Contributions to the August MEI from three of the four broad sectors of nonfarm business activity and one of the five Seventh Federal Reserve District states increased from July. The relative MEI decreased to –0.27 in August from –0.06 in July. Contributions to the August relative MEI from all four sectors and all five states decreased from July.</w:t>
      </w:r>
    </w:p>
    <w:p w14:paraId="7DED003F" w14:textId="1D31E96B" w:rsidR="00113F97" w:rsidRDefault="00113F97" w:rsidP="00113F97">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84" w:history="1">
        <w:r w:rsidRPr="00113F97">
          <w:rPr>
            <w:rStyle w:val="Hyperlink"/>
            <w:rFonts w:eastAsia="Calibri" w:cstheme="minorHAnsi"/>
            <w:sz w:val="24"/>
            <w:szCs w:val="24"/>
          </w:rPr>
          <w:t>link</w:t>
        </w:r>
      </w:hyperlink>
      <w:r w:rsidRPr="0077105F">
        <w:rPr>
          <w:rFonts w:eastAsia="Calibri" w:cstheme="minorHAnsi"/>
          <w:bCs/>
          <w:color w:val="000000"/>
          <w:sz w:val="24"/>
          <w:szCs w:val="24"/>
        </w:rPr>
        <w:t xml:space="preserve">. </w:t>
      </w:r>
    </w:p>
    <w:bookmarkEnd w:id="54"/>
    <w:p w14:paraId="76438B25" w14:textId="183DFD29" w:rsidR="00113F97" w:rsidRDefault="00113F97" w:rsidP="00113F97">
      <w:pPr>
        <w:spacing w:before="120" w:after="120" w:line="259" w:lineRule="auto"/>
        <w:rPr>
          <w:rFonts w:eastAsia="Calibri" w:cstheme="minorHAnsi"/>
          <w:b/>
          <w:bCs/>
          <w:i/>
          <w:color w:val="002060"/>
          <w:sz w:val="24"/>
          <w:szCs w:val="24"/>
        </w:rPr>
      </w:pPr>
    </w:p>
    <w:p w14:paraId="4D0224FA" w14:textId="4ACF1F77" w:rsidR="00113F97" w:rsidRPr="0077105F" w:rsidRDefault="00113F97" w:rsidP="00113F97">
      <w:pPr>
        <w:tabs>
          <w:tab w:val="left" w:pos="7284"/>
        </w:tabs>
        <w:spacing w:before="120" w:after="120" w:line="259" w:lineRule="auto"/>
        <w:rPr>
          <w:rFonts w:eastAsia="Calibri" w:cstheme="minorHAnsi"/>
          <w:b/>
          <w:bCs/>
          <w:i/>
          <w:color w:val="000000" w:themeColor="text1"/>
          <w:sz w:val="24"/>
          <w:szCs w:val="24"/>
        </w:rPr>
      </w:pPr>
      <w:r w:rsidRPr="00113F97">
        <w:rPr>
          <w:rFonts w:eastAsia="Calibri" w:cstheme="minorHAnsi"/>
          <w:b/>
          <w:bCs/>
          <w:i/>
          <w:color w:val="000000" w:themeColor="text1"/>
          <w:sz w:val="24"/>
          <w:szCs w:val="24"/>
        </w:rPr>
        <w:t xml:space="preserve">Housing Affordability in the U.S.: Trends by Geography, Tenure, and Household Income </w:t>
      </w:r>
      <w:r>
        <w:rPr>
          <w:rFonts w:eastAsia="Calibri" w:cstheme="minorHAnsi"/>
          <w:b/>
          <w:bCs/>
          <w:i/>
          <w:color w:val="000000" w:themeColor="text1"/>
          <w:sz w:val="24"/>
          <w:szCs w:val="24"/>
        </w:rPr>
        <w:t>(09.27.2019</w:t>
      </w:r>
      <w:r w:rsidRPr="0077105F">
        <w:rPr>
          <w:rFonts w:eastAsia="Calibri" w:cstheme="minorHAnsi"/>
          <w:b/>
          <w:bCs/>
          <w:i/>
          <w:color w:val="000000" w:themeColor="text1"/>
          <w:sz w:val="24"/>
          <w:szCs w:val="24"/>
        </w:rPr>
        <w:t>)</w:t>
      </w:r>
      <w:r>
        <w:rPr>
          <w:rFonts w:eastAsia="Calibri" w:cstheme="minorHAnsi"/>
          <w:b/>
          <w:bCs/>
          <w:i/>
          <w:color w:val="000000" w:themeColor="text1"/>
          <w:sz w:val="24"/>
          <w:szCs w:val="24"/>
        </w:rPr>
        <w:t xml:space="preserve"> </w:t>
      </w:r>
    </w:p>
    <w:p w14:paraId="6F364D26" w14:textId="77777777" w:rsidR="00113F97" w:rsidRPr="00113F97" w:rsidRDefault="00113F97" w:rsidP="00113F97">
      <w:pPr>
        <w:spacing w:before="120" w:after="120" w:line="259" w:lineRule="auto"/>
        <w:rPr>
          <w:rFonts w:ascii="Calibri" w:eastAsia="Calibri" w:hAnsi="Calibri" w:cs="Arial"/>
          <w:color w:val="101820"/>
          <w:sz w:val="24"/>
          <w:szCs w:val="24"/>
        </w:rPr>
      </w:pPr>
      <w:r w:rsidRPr="00113F97">
        <w:rPr>
          <w:rFonts w:ascii="Calibri" w:eastAsia="Calibri" w:hAnsi="Calibri" w:cs="Arial"/>
          <w:color w:val="101820"/>
          <w:sz w:val="24"/>
          <w:szCs w:val="24"/>
        </w:rPr>
        <w:t xml:space="preserve">In recent years, researchers and policymakers have expressed concerns about housing affordability challenges nationwide. Much of the focus has been on the increasing housing affordability challenges facing renter households, which the analyses below </w:t>
      </w:r>
      <w:proofErr w:type="gramStart"/>
      <w:r w:rsidRPr="00113F97">
        <w:rPr>
          <w:rFonts w:ascii="Calibri" w:eastAsia="Calibri" w:hAnsi="Calibri" w:cs="Arial"/>
          <w:color w:val="101820"/>
          <w:sz w:val="24"/>
          <w:szCs w:val="24"/>
        </w:rPr>
        <w:t>confirms</w:t>
      </w:r>
      <w:proofErr w:type="gramEnd"/>
      <w:r w:rsidRPr="00113F97">
        <w:rPr>
          <w:rFonts w:ascii="Calibri" w:eastAsia="Calibri" w:hAnsi="Calibri" w:cs="Arial"/>
          <w:color w:val="101820"/>
          <w:sz w:val="24"/>
          <w:szCs w:val="24"/>
        </w:rPr>
        <w:t xml:space="preserve"> is the group facing the greatest challenges in securing housing that they can afford. This FEDS Note explores where, and for whom, housing affordability is getting worse, better, or staying the same in order to shed new light on the differential experiences of various groups.</w:t>
      </w:r>
    </w:p>
    <w:p w14:paraId="113AB02E" w14:textId="77777777" w:rsidR="00113F97" w:rsidRPr="00113F97" w:rsidRDefault="00113F97" w:rsidP="00113F97">
      <w:pPr>
        <w:spacing w:before="120" w:after="120" w:line="259" w:lineRule="auto"/>
        <w:rPr>
          <w:rFonts w:ascii="Calibri" w:eastAsia="Calibri" w:hAnsi="Calibri" w:cs="Arial"/>
          <w:color w:val="101820"/>
          <w:sz w:val="24"/>
          <w:szCs w:val="24"/>
        </w:rPr>
      </w:pPr>
      <w:r w:rsidRPr="00113F97">
        <w:rPr>
          <w:rFonts w:ascii="Calibri" w:eastAsia="Calibri" w:hAnsi="Calibri" w:cs="Arial"/>
          <w:color w:val="101820"/>
          <w:sz w:val="24"/>
          <w:szCs w:val="24"/>
        </w:rPr>
        <w:t>National Trends in Housing Affordability by Household Tenure</w:t>
      </w:r>
    </w:p>
    <w:p w14:paraId="1385947A" w14:textId="77777777" w:rsidR="00113F97" w:rsidRPr="00113F97" w:rsidRDefault="00113F97" w:rsidP="00113F97">
      <w:pPr>
        <w:spacing w:before="120" w:after="120" w:line="259" w:lineRule="auto"/>
        <w:rPr>
          <w:rFonts w:ascii="Calibri" w:eastAsia="Calibri" w:hAnsi="Calibri" w:cs="Arial"/>
          <w:color w:val="101820"/>
          <w:sz w:val="24"/>
          <w:szCs w:val="24"/>
        </w:rPr>
      </w:pPr>
      <w:r w:rsidRPr="00113F97">
        <w:rPr>
          <w:rFonts w:ascii="Calibri" w:eastAsia="Calibri" w:hAnsi="Calibri" w:cs="Arial"/>
          <w:color w:val="101820"/>
          <w:sz w:val="24"/>
          <w:szCs w:val="24"/>
        </w:rPr>
        <w:t>Between 2009--the peak of the housing crisis--and 2017, the most recent data available, the total number of households classified as housing cost burdened has declined by 1.7 million.2 This decline in the number of cost burdened households occurred over a period where the total number of households increased by 6.2 million. Of the 6.2 million new households formed over this period, 5.7 million were new renter households.</w:t>
      </w:r>
    </w:p>
    <w:p w14:paraId="26A1C5CB" w14:textId="77777777" w:rsidR="00113F97" w:rsidRDefault="00113F97" w:rsidP="00113F97">
      <w:pPr>
        <w:spacing w:before="120" w:after="120" w:line="259" w:lineRule="auto"/>
        <w:rPr>
          <w:rFonts w:ascii="Calibri" w:eastAsia="Calibri" w:hAnsi="Calibri" w:cs="Arial"/>
          <w:color w:val="101820"/>
          <w:sz w:val="24"/>
          <w:szCs w:val="24"/>
        </w:rPr>
      </w:pPr>
      <w:r w:rsidRPr="00113F97">
        <w:rPr>
          <w:rFonts w:ascii="Calibri" w:eastAsia="Calibri" w:hAnsi="Calibri" w:cs="Arial"/>
          <w:color w:val="101820"/>
          <w:sz w:val="24"/>
          <w:szCs w:val="24"/>
        </w:rPr>
        <w:t>The percent of all households experiencing housing cost burdens, also called the rate of housing cost burden, has gone down by 3.3 percentage points over that period (see Table 1). As shown in Table 1, this overall decrease reflects two opposing trends: a significant increase in the rate of housing cost burden among renter households, offset by an even more significant decrease in the rate of housing cost burden among homeowner households.</w:t>
      </w:r>
    </w:p>
    <w:p w14:paraId="5A984430" w14:textId="31B12A52" w:rsidR="00113F97" w:rsidRDefault="00113F97" w:rsidP="00113F97">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85" w:history="1">
        <w:r w:rsidRPr="00113F97">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706198CA" w14:textId="77777777" w:rsidR="00063F3D" w:rsidRPr="00436AD8" w:rsidRDefault="00063F3D" w:rsidP="00063F3D">
      <w:pPr>
        <w:pStyle w:val="CCTOCHeading"/>
        <w:spacing w:line="259" w:lineRule="auto"/>
        <w:rPr>
          <w:rFonts w:asciiTheme="minorHAnsi" w:hAnsiTheme="minorHAnsi" w:cstheme="minorHAnsi"/>
        </w:rPr>
      </w:pPr>
      <w:bookmarkStart w:id="55" w:name="_Toc22799381"/>
      <w:r w:rsidRPr="00610FDF">
        <w:rPr>
          <w:rFonts w:asciiTheme="minorHAnsi" w:hAnsiTheme="minorHAnsi" w:cstheme="minorHAnsi"/>
        </w:rPr>
        <w:t>Selected federal rules – proposed</w:t>
      </w:r>
      <w:bookmarkEnd w:id="0"/>
      <w:bookmarkEnd w:id="52"/>
      <w:bookmarkEnd w:id="55"/>
    </w:p>
    <w:bookmarkEnd w:id="53"/>
    <w:p w14:paraId="6B2F6169" w14:textId="4B22B982" w:rsidR="00063F3D" w:rsidRPr="0077105F" w:rsidRDefault="00063F3D" w:rsidP="00063F3D">
      <w:pPr>
        <w:pStyle w:val="CCIssuance"/>
        <w:rPr>
          <w:rFonts w:asciiTheme="minorHAnsi" w:hAnsiTheme="minorHAnsi" w:cstheme="minorHAnsi"/>
          <w:b w:val="0"/>
          <w:color w:val="auto"/>
        </w:rPr>
      </w:pPr>
      <w:r w:rsidRPr="0077105F">
        <w:rPr>
          <w:rFonts w:asciiTheme="minorHAnsi" w:hAnsiTheme="minorHAnsi" w:cstheme="minorHAnsi"/>
          <w:b w:val="0"/>
          <w:color w:val="auto"/>
        </w:rPr>
        <w:t xml:space="preserve">Proposed rules are included only when community banks </w:t>
      </w:r>
      <w:r w:rsidR="00771E7E">
        <w:rPr>
          <w:rFonts w:asciiTheme="minorHAnsi" w:hAnsiTheme="minorHAnsi" w:cstheme="minorHAnsi"/>
          <w:b w:val="0"/>
          <w:color w:val="auto"/>
        </w:rPr>
        <w:t>may</w:t>
      </w:r>
      <w:r w:rsidRPr="0077105F">
        <w:rPr>
          <w:rFonts w:asciiTheme="minorHAnsi" w:hAnsiTheme="minorHAnsi" w:cstheme="minorHAnsi"/>
          <w:b w:val="0"/>
          <w:color w:val="auto"/>
        </w:rPr>
        <w:t xml:space="preserve"> want to comment. Date posted </w:t>
      </w:r>
      <w:r w:rsidR="00771E7E">
        <w:rPr>
          <w:rFonts w:asciiTheme="minorHAnsi" w:hAnsiTheme="minorHAnsi" w:cstheme="minorHAnsi"/>
          <w:b w:val="0"/>
          <w:color w:val="auto"/>
        </w:rPr>
        <w:t>may</w:t>
      </w:r>
      <w:r w:rsidRPr="0077105F">
        <w:rPr>
          <w:rFonts w:asciiTheme="minorHAnsi" w:hAnsiTheme="minorHAnsi" w:cstheme="minorHAnsi"/>
          <w:b w:val="0"/>
          <w:color w:val="auto"/>
        </w:rPr>
        <w:t xml:space="preserve"> not be the same as the Federal Register Date. </w:t>
      </w:r>
    </w:p>
    <w:p w14:paraId="13B8E5DE" w14:textId="5E0A9674" w:rsidR="00063F3D" w:rsidRPr="00E36FF6" w:rsidRDefault="007265EF" w:rsidP="00063F3D">
      <w:pPr>
        <w:pStyle w:val="CCIssuance"/>
        <w:spacing w:after="0"/>
        <w:rPr>
          <w:rFonts w:asciiTheme="minorHAnsi" w:hAnsiTheme="minorHAnsi" w:cstheme="minorHAnsi"/>
          <w:color w:val="auto"/>
          <w:sz w:val="18"/>
          <w:szCs w:val="18"/>
        </w:rPr>
      </w:pPr>
      <w:r>
        <w:rPr>
          <w:rFonts w:asciiTheme="minorHAnsi" w:hAnsiTheme="minorHAnsi" w:cstheme="minorHAnsi"/>
          <w:color w:val="auto"/>
          <w:sz w:val="18"/>
          <w:szCs w:val="18"/>
        </w:rPr>
        <w:t>PROPOSED</w:t>
      </w:r>
    </w:p>
    <w:p w14:paraId="37573EB4" w14:textId="3CD662D5" w:rsidR="00063F3D" w:rsidRPr="00E36FF6" w:rsidRDefault="00063F3D" w:rsidP="00063F3D">
      <w:pPr>
        <w:pStyle w:val="CCIssuance"/>
        <w:pBdr>
          <w:bottom w:val="single" w:sz="12" w:space="1" w:color="auto"/>
        </w:pBdr>
        <w:spacing w:after="0"/>
        <w:rPr>
          <w:rFonts w:asciiTheme="minorHAnsi" w:hAnsiTheme="minorHAnsi" w:cstheme="minorHAnsi"/>
          <w:color w:val="auto"/>
          <w:sz w:val="18"/>
          <w:szCs w:val="18"/>
        </w:rPr>
      </w:pPr>
      <w:r w:rsidRPr="00E36FF6">
        <w:rPr>
          <w:rFonts w:asciiTheme="minorHAnsi" w:hAnsiTheme="minorHAnsi" w:cstheme="minorHAnsi"/>
          <w:color w:val="auto"/>
          <w:sz w:val="18"/>
          <w:szCs w:val="18"/>
        </w:rPr>
        <w:t>D</w:t>
      </w:r>
      <w:r w:rsidR="007265EF">
        <w:rPr>
          <w:rFonts w:asciiTheme="minorHAnsi" w:hAnsiTheme="minorHAnsi" w:cstheme="minorHAnsi"/>
          <w:color w:val="auto"/>
          <w:sz w:val="18"/>
          <w:szCs w:val="18"/>
        </w:rPr>
        <w:t>ATE</w:t>
      </w:r>
      <w:r w:rsidRPr="00E36FF6">
        <w:rPr>
          <w:rFonts w:asciiTheme="minorHAnsi" w:hAnsiTheme="minorHAnsi" w:cstheme="minorHAnsi"/>
          <w:color w:val="auto"/>
          <w:sz w:val="18"/>
          <w:szCs w:val="18"/>
        </w:rPr>
        <w:tab/>
      </w:r>
      <w:r w:rsidRPr="00E36FF6">
        <w:rPr>
          <w:rFonts w:asciiTheme="minorHAnsi" w:hAnsiTheme="minorHAnsi" w:cstheme="minorHAnsi"/>
          <w:color w:val="auto"/>
          <w:sz w:val="18"/>
          <w:szCs w:val="18"/>
        </w:rPr>
        <w:tab/>
        <w:t>SUMMARY OF PROPOSED RULE</w:t>
      </w:r>
    </w:p>
    <w:p w14:paraId="23A39843" w14:textId="77777777" w:rsidR="003F4D3D" w:rsidRDefault="003F4D3D" w:rsidP="009D7060">
      <w:pPr>
        <w:autoSpaceDE w:val="0"/>
        <w:autoSpaceDN w:val="0"/>
        <w:adjustRightInd w:val="0"/>
        <w:rPr>
          <w:rFonts w:cstheme="minorHAnsi"/>
          <w:sz w:val="18"/>
          <w:szCs w:val="18"/>
        </w:rPr>
      </w:pPr>
    </w:p>
    <w:p w14:paraId="16358891" w14:textId="46126F90" w:rsidR="00006E04" w:rsidRDefault="00006E04" w:rsidP="00006E04">
      <w:pPr>
        <w:spacing w:after="120"/>
        <w:ind w:left="1440" w:hanging="1440"/>
        <w:rPr>
          <w:rFonts w:cstheme="minorHAnsi"/>
          <w:sz w:val="18"/>
          <w:szCs w:val="18"/>
        </w:rPr>
      </w:pPr>
      <w:r>
        <w:rPr>
          <w:rFonts w:cstheme="minorHAnsi"/>
          <w:sz w:val="18"/>
          <w:szCs w:val="18"/>
        </w:rPr>
        <w:lastRenderedPageBreak/>
        <w:t>07.25.2019</w:t>
      </w:r>
      <w:r>
        <w:rPr>
          <w:rFonts w:cstheme="minorHAnsi"/>
          <w:sz w:val="18"/>
          <w:szCs w:val="18"/>
        </w:rPr>
        <w:tab/>
      </w:r>
      <w:hyperlink r:id="rId86" w:history="1">
        <w:r w:rsidRPr="00006E04">
          <w:rPr>
            <w:rStyle w:val="Hyperlink"/>
            <w:rFonts w:cstheme="minorHAnsi"/>
            <w:sz w:val="18"/>
            <w:szCs w:val="18"/>
          </w:rPr>
          <w:t>Request for Public Comment on the Federal Trade Commission's Implementation of the Children's Online Privacy Protection Rule -</w:t>
        </w:r>
      </w:hyperlink>
      <w:r>
        <w:rPr>
          <w:rFonts w:cstheme="minorHAnsi"/>
          <w:sz w:val="18"/>
          <w:szCs w:val="18"/>
        </w:rPr>
        <w:t xml:space="preserve"> </w:t>
      </w:r>
      <w:r w:rsidRPr="00006E04">
        <w:rPr>
          <w:rFonts w:cstheme="minorHAnsi"/>
          <w:sz w:val="18"/>
          <w:szCs w:val="18"/>
        </w:rPr>
        <w:t>The Federal Trade Commission (“FTC” or “Commission”) requests public comment on its implementation of the Children's Online Privacy Protection Act (“COPPA” or “the Act”), through the Children's Online Privacy Protection Rule (“COPPA Rule” or “the Rule”).</w:t>
      </w:r>
      <w:r>
        <w:rPr>
          <w:rFonts w:cstheme="minorHAnsi"/>
          <w:sz w:val="18"/>
          <w:szCs w:val="18"/>
        </w:rPr>
        <w:t xml:space="preserve"> </w:t>
      </w:r>
      <w:r w:rsidRPr="00006E04">
        <w:rPr>
          <w:rFonts w:cstheme="minorHAnsi"/>
          <w:sz w:val="18"/>
          <w:szCs w:val="18"/>
          <w:u w:val="single"/>
        </w:rPr>
        <w:t>DATES: Written comments must be received on or before October 23, 2019. The Commission will hold a public workshop to review the COPPA Rule on October 7, 2019.</w:t>
      </w:r>
      <w:r w:rsidRPr="00006E04">
        <w:rPr>
          <w:u w:val="single"/>
        </w:rPr>
        <w:t xml:space="preserve"> </w:t>
      </w:r>
      <w:r w:rsidRPr="00006E04">
        <w:rPr>
          <w:rFonts w:cstheme="minorHAnsi"/>
          <w:sz w:val="18"/>
          <w:szCs w:val="18"/>
          <w:u w:val="single"/>
        </w:rPr>
        <w:t>FTC Extends Deadline for Comments on COPPA Rule until December 9</w:t>
      </w:r>
      <w:r>
        <w:rPr>
          <w:rFonts w:cstheme="minorHAnsi"/>
          <w:sz w:val="18"/>
          <w:szCs w:val="18"/>
          <w:u w:val="single"/>
        </w:rPr>
        <w:t>, 2019.</w:t>
      </w:r>
    </w:p>
    <w:p w14:paraId="7F4E33E0" w14:textId="72F0AD4E" w:rsidR="00ED74D8" w:rsidRPr="00C13996" w:rsidRDefault="00ED74D8" w:rsidP="00ED74D8">
      <w:pPr>
        <w:spacing w:after="120"/>
        <w:ind w:left="1440" w:hanging="1440"/>
        <w:rPr>
          <w:rFonts w:cstheme="minorHAnsi"/>
          <w:b/>
          <w:bCs/>
          <w:sz w:val="18"/>
          <w:szCs w:val="18"/>
        </w:rPr>
      </w:pPr>
      <w:r>
        <w:rPr>
          <w:rFonts w:cstheme="minorHAnsi"/>
          <w:sz w:val="18"/>
          <w:szCs w:val="18"/>
        </w:rPr>
        <w:t>08.20.2019</w:t>
      </w:r>
      <w:r>
        <w:rPr>
          <w:rFonts w:cstheme="minorHAnsi"/>
          <w:sz w:val="18"/>
          <w:szCs w:val="18"/>
        </w:rPr>
        <w:tab/>
      </w:r>
      <w:bookmarkStart w:id="56" w:name="_Hlk17288587"/>
      <w:r w:rsidR="00107307">
        <w:fldChar w:fldCharType="begin"/>
      </w:r>
      <w:r w:rsidR="00107307">
        <w:instrText xml:space="preserve"> HYPERLINK "https://www.fdic.gov/news/board/2019/2019-08-20-notice-dis-b-fr.pdf?source=govdelivery&amp;utm_medium=email&amp;utm_source=govdelivery" </w:instrText>
      </w:r>
      <w:r w:rsidR="00107307">
        <w:fldChar w:fldCharType="separate"/>
      </w:r>
      <w:r w:rsidRPr="00ED74D8">
        <w:rPr>
          <w:rStyle w:val="Hyperlink"/>
          <w:rFonts w:cstheme="minorHAnsi"/>
          <w:sz w:val="18"/>
          <w:szCs w:val="18"/>
        </w:rPr>
        <w:t>Interest Rate Restrictions on Institutions That Are Less Than Well Capitalized -</w:t>
      </w:r>
      <w:r w:rsidR="00107307">
        <w:rPr>
          <w:rStyle w:val="Hyperlink"/>
          <w:rFonts w:cstheme="minorHAnsi"/>
          <w:sz w:val="18"/>
          <w:szCs w:val="18"/>
        </w:rPr>
        <w:fldChar w:fldCharType="end"/>
      </w:r>
      <w:r>
        <w:rPr>
          <w:rFonts w:cstheme="minorHAnsi"/>
          <w:sz w:val="18"/>
          <w:szCs w:val="18"/>
        </w:rPr>
        <w:t xml:space="preserve"> </w:t>
      </w:r>
      <w:r w:rsidRPr="00ED74D8">
        <w:rPr>
          <w:rFonts w:cstheme="minorHAnsi"/>
          <w:sz w:val="18"/>
          <w:szCs w:val="18"/>
        </w:rPr>
        <w:t>The FDIC is seeking comment on proposed revisions to its regulations relating to</w:t>
      </w:r>
      <w:r>
        <w:rPr>
          <w:rFonts w:cstheme="minorHAnsi"/>
          <w:sz w:val="18"/>
          <w:szCs w:val="18"/>
        </w:rPr>
        <w:t xml:space="preserve"> </w:t>
      </w:r>
      <w:r w:rsidRPr="00ED74D8">
        <w:rPr>
          <w:rFonts w:cstheme="minorHAnsi"/>
          <w:sz w:val="18"/>
          <w:szCs w:val="18"/>
        </w:rPr>
        <w:t>interest rate restrictions that apply to less than well capitalized insured depository institutions.</w:t>
      </w:r>
      <w:r>
        <w:rPr>
          <w:rFonts w:cstheme="minorHAnsi"/>
          <w:sz w:val="18"/>
          <w:szCs w:val="18"/>
        </w:rPr>
        <w:t xml:space="preserve"> </w:t>
      </w:r>
      <w:r w:rsidRPr="00ED74D8">
        <w:rPr>
          <w:rFonts w:cstheme="minorHAnsi"/>
          <w:sz w:val="18"/>
          <w:szCs w:val="18"/>
        </w:rPr>
        <w:t>Under the proposed rule, the FDIC would amend the methodology for calculating the national</w:t>
      </w:r>
      <w:r>
        <w:rPr>
          <w:rFonts w:cstheme="minorHAnsi"/>
          <w:sz w:val="18"/>
          <w:szCs w:val="18"/>
        </w:rPr>
        <w:t xml:space="preserve"> </w:t>
      </w:r>
      <w:r w:rsidRPr="00ED74D8">
        <w:rPr>
          <w:rFonts w:cstheme="minorHAnsi"/>
          <w:sz w:val="18"/>
          <w:szCs w:val="18"/>
        </w:rPr>
        <w:t>rate and national rate cap for specific deposit products. The national rate would be the weighted</w:t>
      </w:r>
      <w:r>
        <w:rPr>
          <w:rFonts w:cstheme="minorHAnsi"/>
          <w:sz w:val="18"/>
          <w:szCs w:val="18"/>
        </w:rPr>
        <w:t xml:space="preserve"> </w:t>
      </w:r>
      <w:r w:rsidRPr="00ED74D8">
        <w:rPr>
          <w:rFonts w:cstheme="minorHAnsi"/>
          <w:sz w:val="18"/>
          <w:szCs w:val="18"/>
        </w:rPr>
        <w:t>average of rates paid by all insured depository institutions on a given deposit product, for which</w:t>
      </w:r>
      <w:r>
        <w:rPr>
          <w:rFonts w:cstheme="minorHAnsi"/>
          <w:sz w:val="18"/>
          <w:szCs w:val="18"/>
        </w:rPr>
        <w:t xml:space="preserve"> </w:t>
      </w:r>
      <w:r w:rsidRPr="00ED74D8">
        <w:rPr>
          <w:rFonts w:cstheme="minorHAnsi"/>
          <w:sz w:val="18"/>
          <w:szCs w:val="18"/>
        </w:rPr>
        <w:t>data are available, where the weights are each institution’s market share of domestic deposits.</w:t>
      </w:r>
      <w:r>
        <w:rPr>
          <w:rFonts w:cstheme="minorHAnsi"/>
          <w:sz w:val="18"/>
          <w:szCs w:val="18"/>
        </w:rPr>
        <w:t xml:space="preserve"> </w:t>
      </w:r>
      <w:r w:rsidRPr="00ED74D8">
        <w:rPr>
          <w:rFonts w:cstheme="minorHAnsi"/>
          <w:sz w:val="18"/>
          <w:szCs w:val="18"/>
        </w:rPr>
        <w:t xml:space="preserve">The national rate cap for </w:t>
      </w:r>
      <w:proofErr w:type="gramStart"/>
      <w:r w:rsidRPr="00ED74D8">
        <w:rPr>
          <w:rFonts w:cstheme="minorHAnsi"/>
          <w:sz w:val="18"/>
          <w:szCs w:val="18"/>
        </w:rPr>
        <w:t>particular products</w:t>
      </w:r>
      <w:proofErr w:type="gramEnd"/>
      <w:r w:rsidRPr="00ED74D8">
        <w:rPr>
          <w:rFonts w:cstheme="minorHAnsi"/>
          <w:sz w:val="18"/>
          <w:szCs w:val="18"/>
        </w:rPr>
        <w:t xml:space="preserve"> would be set at the higher of (1) the 95th percentile</w:t>
      </w:r>
      <w:r>
        <w:rPr>
          <w:rFonts w:cstheme="minorHAnsi"/>
          <w:sz w:val="18"/>
          <w:szCs w:val="18"/>
        </w:rPr>
        <w:t xml:space="preserve">] </w:t>
      </w:r>
      <w:r w:rsidRPr="00ED74D8">
        <w:rPr>
          <w:rFonts w:cstheme="minorHAnsi"/>
          <w:sz w:val="18"/>
          <w:szCs w:val="18"/>
        </w:rPr>
        <w:t>of rates paid by insured depository institutions weighted by each institution’s share of total</w:t>
      </w:r>
      <w:r>
        <w:rPr>
          <w:rFonts w:cstheme="minorHAnsi"/>
          <w:sz w:val="18"/>
          <w:szCs w:val="18"/>
        </w:rPr>
        <w:t xml:space="preserve"> </w:t>
      </w:r>
      <w:r w:rsidRPr="00ED74D8">
        <w:rPr>
          <w:rFonts w:cstheme="minorHAnsi"/>
          <w:sz w:val="18"/>
          <w:szCs w:val="18"/>
        </w:rPr>
        <w:t>domestic deposits, or (2) the proposed national rate plus 75 basis points. The proposed rule</w:t>
      </w:r>
      <w:r>
        <w:rPr>
          <w:rFonts w:cstheme="minorHAnsi"/>
          <w:sz w:val="18"/>
          <w:szCs w:val="18"/>
        </w:rPr>
        <w:t xml:space="preserve"> </w:t>
      </w:r>
      <w:r w:rsidRPr="00ED74D8">
        <w:rPr>
          <w:rFonts w:cstheme="minorHAnsi"/>
          <w:sz w:val="18"/>
          <w:szCs w:val="18"/>
        </w:rPr>
        <w:t>would also greatly simplify the current local rate cap calculation and process by allowing less</w:t>
      </w:r>
      <w:r>
        <w:rPr>
          <w:rFonts w:cstheme="minorHAnsi"/>
          <w:sz w:val="18"/>
          <w:szCs w:val="18"/>
        </w:rPr>
        <w:t xml:space="preserve"> </w:t>
      </w:r>
      <w:r w:rsidRPr="00ED74D8">
        <w:rPr>
          <w:rFonts w:cstheme="minorHAnsi"/>
          <w:sz w:val="18"/>
          <w:szCs w:val="18"/>
        </w:rPr>
        <w:t xml:space="preserve">than well capitalized institutions to offer up to 90 percent of the highest rate paid on a </w:t>
      </w:r>
      <w:proofErr w:type="gramStart"/>
      <w:r w:rsidRPr="00ED74D8">
        <w:rPr>
          <w:rFonts w:cstheme="minorHAnsi"/>
          <w:sz w:val="18"/>
          <w:szCs w:val="18"/>
        </w:rPr>
        <w:t>particular</w:t>
      </w:r>
      <w:r>
        <w:rPr>
          <w:rFonts w:cstheme="minorHAnsi"/>
          <w:sz w:val="18"/>
          <w:szCs w:val="18"/>
        </w:rPr>
        <w:t xml:space="preserve"> </w:t>
      </w:r>
      <w:r w:rsidRPr="00ED74D8">
        <w:rPr>
          <w:rFonts w:cstheme="minorHAnsi"/>
          <w:sz w:val="18"/>
          <w:szCs w:val="18"/>
        </w:rPr>
        <w:t>deposit</w:t>
      </w:r>
      <w:proofErr w:type="gramEnd"/>
      <w:r w:rsidRPr="00ED74D8">
        <w:rPr>
          <w:rFonts w:cstheme="minorHAnsi"/>
          <w:sz w:val="18"/>
          <w:szCs w:val="18"/>
        </w:rPr>
        <w:t xml:space="preserve"> product in the institution’s local market area.</w:t>
      </w:r>
      <w:r>
        <w:rPr>
          <w:rFonts w:cstheme="minorHAnsi"/>
          <w:sz w:val="18"/>
          <w:szCs w:val="18"/>
        </w:rPr>
        <w:t xml:space="preserve"> </w:t>
      </w:r>
      <w:bookmarkStart w:id="57" w:name="_Hlk17191453"/>
      <w:r w:rsidR="00C13996" w:rsidRPr="00C13996">
        <w:rPr>
          <w:rFonts w:cstheme="minorHAnsi"/>
          <w:b/>
          <w:bCs/>
          <w:sz w:val="18"/>
          <w:szCs w:val="18"/>
        </w:rPr>
        <w:t xml:space="preserve">Dates: </w:t>
      </w:r>
      <w:r w:rsidRPr="00C13996">
        <w:rPr>
          <w:rFonts w:cstheme="minorHAnsi"/>
          <w:b/>
          <w:bCs/>
          <w:sz w:val="18"/>
          <w:szCs w:val="18"/>
        </w:rPr>
        <w:t xml:space="preserve">Comments must be received </w:t>
      </w:r>
      <w:r w:rsidR="006C2B01" w:rsidRPr="00C13996">
        <w:rPr>
          <w:rFonts w:cstheme="minorHAnsi"/>
          <w:b/>
          <w:bCs/>
          <w:sz w:val="18"/>
          <w:szCs w:val="18"/>
        </w:rPr>
        <w:t xml:space="preserve">by </w:t>
      </w:r>
      <w:r w:rsidR="00120900" w:rsidRPr="00C13996">
        <w:rPr>
          <w:rFonts w:cstheme="minorHAnsi"/>
          <w:b/>
          <w:bCs/>
          <w:sz w:val="18"/>
          <w:szCs w:val="18"/>
        </w:rPr>
        <w:t xml:space="preserve">November 4, </w:t>
      </w:r>
      <w:r w:rsidR="006C2B01" w:rsidRPr="00C13996">
        <w:rPr>
          <w:rFonts w:cstheme="minorHAnsi"/>
          <w:b/>
          <w:bCs/>
          <w:sz w:val="18"/>
          <w:szCs w:val="18"/>
        </w:rPr>
        <w:t>2019.</w:t>
      </w:r>
      <w:r w:rsidRPr="00C13996">
        <w:rPr>
          <w:rFonts w:cstheme="minorHAnsi"/>
          <w:b/>
          <w:bCs/>
          <w:sz w:val="18"/>
          <w:szCs w:val="18"/>
        </w:rPr>
        <w:t xml:space="preserve"> </w:t>
      </w:r>
      <w:bookmarkEnd w:id="56"/>
      <w:bookmarkEnd w:id="57"/>
    </w:p>
    <w:p w14:paraId="39B8992A" w14:textId="0BD3DDDE" w:rsidR="00361D9A" w:rsidRDefault="00361D9A" w:rsidP="00ED74D8">
      <w:pPr>
        <w:spacing w:after="120"/>
        <w:ind w:left="1440" w:hanging="1440"/>
        <w:rPr>
          <w:rFonts w:cstheme="minorHAnsi"/>
          <w:sz w:val="18"/>
          <w:szCs w:val="18"/>
        </w:rPr>
      </w:pPr>
      <w:r>
        <w:rPr>
          <w:rFonts w:cstheme="minorHAnsi"/>
          <w:sz w:val="18"/>
          <w:szCs w:val="18"/>
        </w:rPr>
        <w:t>10.17.2019</w:t>
      </w:r>
      <w:r>
        <w:rPr>
          <w:rFonts w:cstheme="minorHAnsi"/>
          <w:sz w:val="18"/>
          <w:szCs w:val="18"/>
        </w:rPr>
        <w:tab/>
      </w:r>
      <w:hyperlink r:id="rId87" w:history="1">
        <w:r w:rsidRPr="00361D9A">
          <w:rPr>
            <w:rStyle w:val="Hyperlink"/>
            <w:rFonts w:cstheme="minorHAnsi"/>
            <w:sz w:val="18"/>
            <w:szCs w:val="18"/>
          </w:rPr>
          <w:t>Interagency Policy Statement on Allowances for Credit Losses  -</w:t>
        </w:r>
      </w:hyperlink>
      <w:r>
        <w:rPr>
          <w:rFonts w:cstheme="minorHAnsi"/>
          <w:sz w:val="18"/>
          <w:szCs w:val="18"/>
        </w:rPr>
        <w:t xml:space="preserve"> </w:t>
      </w:r>
      <w:r w:rsidRPr="00361D9A">
        <w:rPr>
          <w:rFonts w:cstheme="minorHAnsi"/>
          <w:sz w:val="18"/>
          <w:szCs w:val="18"/>
        </w:rPr>
        <w:t>The Office of the Comptroller of the Currency, the Board of Governors of the Federal Reserve System, the Federal Deposit Insurance Corporation (collectively, the banking agencies), and the National Credit Union Administration (collectively, the agencies) are inviting public comment on a proposed interagency policy statement on allowances for credit losses (ACLs). The agencies are issuing this proposed interagency policy statement in response to changes to U.S. generally accepted accounting principles (GAAP) as promulgated b</w:t>
      </w:r>
      <w:r>
        <w:rPr>
          <w:rFonts w:cstheme="minorHAnsi"/>
          <w:sz w:val="18"/>
          <w:szCs w:val="18"/>
        </w:rPr>
        <w:t xml:space="preserve">y </w:t>
      </w:r>
      <w:r w:rsidRPr="00361D9A">
        <w:rPr>
          <w:rFonts w:cstheme="minorHAnsi"/>
          <w:sz w:val="18"/>
          <w:szCs w:val="18"/>
        </w:rPr>
        <w:t xml:space="preserve">the Financial Accounting Standards Board (FASB) in Accounting Standards Update (ASU) 2016–13, Financial Instruments—Credit Losses (Topic 326): Measurement of Credit Losses on Financial Instruments and subsequent amendments issued since June 2016. These updates are codified in Accounting Standards Codification (ASC) Topic 326, Financial Instruments—Credit Losses (FASB ASC Topic 326). This proposed interagency policy statement describes the measurement of expected credit losses under the current expected credit losses (CECL) methodology and the accounting for impairment on available-for-sale (AFS) debt securities in accordance with FASB ASC Topic 326; supervisory expectations for designing, documenting, and validating expected credit loss estimation processes, including the internal controls over these processes; maintaining appropriate ACLs; the responsibilities of boards of directors and management; and examiner reviews of ACLs. </w:t>
      </w:r>
      <w:r w:rsidRPr="00361D9A">
        <w:rPr>
          <w:rFonts w:cstheme="minorHAnsi"/>
          <w:b/>
          <w:bCs/>
          <w:sz w:val="18"/>
          <w:szCs w:val="18"/>
        </w:rPr>
        <w:t>DATES: Comments must be received by December 16, 2019.</w:t>
      </w:r>
      <w:r w:rsidRPr="00361D9A">
        <w:rPr>
          <w:rFonts w:cstheme="minorHAnsi"/>
          <w:sz w:val="18"/>
          <w:szCs w:val="18"/>
        </w:rPr>
        <w:t xml:space="preserve"> </w:t>
      </w:r>
    </w:p>
    <w:p w14:paraId="45650D1C" w14:textId="6C23EFEF" w:rsidR="00361D9A" w:rsidRDefault="00361D9A" w:rsidP="00ED74D8">
      <w:pPr>
        <w:spacing w:after="120"/>
        <w:ind w:left="1440" w:hanging="1440"/>
        <w:rPr>
          <w:rFonts w:cstheme="minorHAnsi"/>
          <w:sz w:val="18"/>
          <w:szCs w:val="18"/>
        </w:rPr>
      </w:pPr>
      <w:r>
        <w:rPr>
          <w:rFonts w:cstheme="minorHAnsi"/>
          <w:sz w:val="18"/>
          <w:szCs w:val="18"/>
        </w:rPr>
        <w:t>10.17.2019</w:t>
      </w:r>
      <w:r>
        <w:rPr>
          <w:rFonts w:cstheme="minorHAnsi"/>
          <w:sz w:val="18"/>
          <w:szCs w:val="18"/>
        </w:rPr>
        <w:tab/>
      </w:r>
      <w:hyperlink r:id="rId88" w:history="1">
        <w:r w:rsidRPr="00361D9A">
          <w:rPr>
            <w:rStyle w:val="Hyperlink"/>
            <w:rFonts w:cstheme="minorHAnsi"/>
            <w:sz w:val="18"/>
            <w:szCs w:val="18"/>
          </w:rPr>
          <w:t>Interagency Guidance on Credit Risk Review System -</w:t>
        </w:r>
      </w:hyperlink>
      <w:r>
        <w:rPr>
          <w:rFonts w:cstheme="minorHAnsi"/>
          <w:sz w:val="18"/>
          <w:szCs w:val="18"/>
        </w:rPr>
        <w:t xml:space="preserve"> </w:t>
      </w:r>
      <w:r w:rsidRPr="00361D9A">
        <w:rPr>
          <w:rFonts w:cstheme="minorHAnsi"/>
          <w:sz w:val="18"/>
          <w:szCs w:val="18"/>
        </w:rPr>
        <w:t>The OCC, the Board, the FDIC, and the NCUA (collectively, the agencies) are inviting comment on proposed guidance for credit risk review systems. This proposed guidance is relevant to all institutions supervised by the agencies. The proposed guidance discusses sound management of credit risk, a system of independent, ongoing credit review, and appropriate communication regarding the performance of the institution’s loan portfolio to its management and board of directors.</w:t>
      </w:r>
      <w:r w:rsidRPr="00361D9A">
        <w:rPr>
          <w:rFonts w:cstheme="minorHAnsi"/>
          <w:b/>
          <w:bCs/>
          <w:sz w:val="18"/>
          <w:szCs w:val="18"/>
        </w:rPr>
        <w:t xml:space="preserve"> DATES: Comments must be received by December 16, 2019.</w:t>
      </w:r>
    </w:p>
    <w:p w14:paraId="2E650750" w14:textId="65108256" w:rsidR="00C13996" w:rsidRDefault="00C13996" w:rsidP="00ED74D8">
      <w:pPr>
        <w:spacing w:after="120"/>
        <w:ind w:left="1440" w:hanging="1440"/>
        <w:rPr>
          <w:rFonts w:cstheme="minorHAnsi"/>
          <w:b/>
          <w:bCs/>
          <w:sz w:val="18"/>
          <w:szCs w:val="18"/>
        </w:rPr>
      </w:pPr>
      <w:r>
        <w:rPr>
          <w:rFonts w:cstheme="minorHAnsi"/>
          <w:sz w:val="18"/>
          <w:szCs w:val="18"/>
        </w:rPr>
        <w:t>10.18.2019</w:t>
      </w:r>
      <w:r>
        <w:rPr>
          <w:rFonts w:cstheme="minorHAnsi"/>
          <w:sz w:val="18"/>
          <w:szCs w:val="18"/>
        </w:rPr>
        <w:tab/>
      </w:r>
      <w:hyperlink r:id="rId89" w:history="1">
        <w:r w:rsidRPr="00C13996">
          <w:rPr>
            <w:rStyle w:val="Hyperlink"/>
            <w:rFonts w:cstheme="minorHAnsi"/>
            <w:sz w:val="18"/>
            <w:szCs w:val="18"/>
          </w:rPr>
          <w:t>Reporting of Data on Loans to Small Businesses and Small Farms -</w:t>
        </w:r>
      </w:hyperlink>
      <w:r>
        <w:rPr>
          <w:rFonts w:cstheme="minorHAnsi"/>
          <w:sz w:val="18"/>
          <w:szCs w:val="18"/>
        </w:rPr>
        <w:t xml:space="preserve"> </w:t>
      </w:r>
      <w:r w:rsidRPr="00C13996">
        <w:rPr>
          <w:rFonts w:cstheme="minorHAnsi"/>
          <w:sz w:val="18"/>
          <w:szCs w:val="18"/>
        </w:rPr>
        <w:t xml:space="preserve">The OCC, the Board, and the FDIC (collectively, the agencies) are requesting comment on ways to modify the current requirements for reporting data on loans to small businesses and small farms in the Consolidated Reports of Condition and Income (Call Report) so that the reported data better reflect lending to these sectors of the U.S. economy. </w:t>
      </w:r>
      <w:r w:rsidRPr="00C13996">
        <w:rPr>
          <w:rFonts w:cstheme="minorHAnsi"/>
          <w:b/>
          <w:bCs/>
          <w:sz w:val="18"/>
          <w:szCs w:val="18"/>
        </w:rPr>
        <w:t>DATES: Comments must be received by the agencies no later than December 16, 2019.</w:t>
      </w:r>
    </w:p>
    <w:p w14:paraId="588A0E18" w14:textId="23BE8080" w:rsidR="00C13996" w:rsidRPr="00C13996" w:rsidRDefault="00C13996" w:rsidP="00C13996">
      <w:pPr>
        <w:spacing w:after="120"/>
        <w:ind w:left="1440" w:hanging="1440"/>
        <w:rPr>
          <w:rFonts w:cstheme="minorHAnsi"/>
          <w:sz w:val="18"/>
          <w:szCs w:val="18"/>
        </w:rPr>
      </w:pPr>
      <w:r w:rsidRPr="002460DD">
        <w:rPr>
          <w:rFonts w:cstheme="minorHAnsi"/>
          <w:sz w:val="18"/>
          <w:szCs w:val="18"/>
        </w:rPr>
        <w:t>10.18.2019</w:t>
      </w:r>
      <w:r w:rsidRPr="002460DD">
        <w:rPr>
          <w:rFonts w:cstheme="minorHAnsi"/>
          <w:sz w:val="18"/>
          <w:szCs w:val="18"/>
        </w:rPr>
        <w:tab/>
      </w:r>
      <w:hyperlink r:id="rId90" w:history="1">
        <w:r w:rsidRPr="00C13996">
          <w:rPr>
            <w:rStyle w:val="Hyperlink"/>
            <w:rFonts w:cstheme="minorHAnsi"/>
            <w:sz w:val="18"/>
            <w:szCs w:val="18"/>
          </w:rPr>
          <w:t>Request for Information on Application of the Uniform Financial Institutions Rating System</w:t>
        </w:r>
      </w:hyperlink>
      <w:r w:rsidRPr="00C13996">
        <w:rPr>
          <w:rFonts w:cstheme="minorHAnsi"/>
          <w:sz w:val="18"/>
          <w:szCs w:val="18"/>
        </w:rPr>
        <w:t xml:space="preserve"> - The FRB and the FDIC (collectively, the agencies) are seeking information and comments from interested parties regarding the consistency of ratings assigned by the agencies under the Uniform Financial Institutions Rating System (UFIRS).  The assigned ratings are commonly known as CAMELS ratings.  The agencies also are interested in receiving feedback concerning the current use of CAMELS ratings by the agencies in their bank application and enforcement action processes.   </w:t>
      </w:r>
      <w:r w:rsidRPr="00C13996">
        <w:rPr>
          <w:rFonts w:cstheme="minorHAnsi"/>
          <w:b/>
          <w:bCs/>
          <w:sz w:val="18"/>
          <w:szCs w:val="18"/>
        </w:rPr>
        <w:t>DATES:  Comments must be received by [INSERT DATE 60 DAYS AFTER DATE OF PUBLICATION IN THE FEDERAL REGISTER].</w:t>
      </w:r>
    </w:p>
    <w:p w14:paraId="220BD830" w14:textId="12F99832" w:rsidR="00063F3D" w:rsidRPr="00436AD8" w:rsidRDefault="00014523" w:rsidP="00063F3D">
      <w:pPr>
        <w:pStyle w:val="CCTOCHeading"/>
        <w:spacing w:line="259" w:lineRule="auto"/>
        <w:rPr>
          <w:rFonts w:asciiTheme="minorHAnsi" w:hAnsiTheme="minorHAnsi" w:cstheme="minorHAnsi"/>
        </w:rPr>
      </w:pPr>
      <w:bookmarkStart w:id="58" w:name="_Toc482863500"/>
      <w:bookmarkStart w:id="59" w:name="_Toc464471335"/>
      <w:bookmarkStart w:id="60" w:name="_Toc504138800"/>
      <w:bookmarkStart w:id="61" w:name="_Toc22799382"/>
      <w:bookmarkStart w:id="62" w:name="_Hlk514920440"/>
      <w:r w:rsidRPr="00610FDF">
        <w:rPr>
          <w:rFonts w:asciiTheme="minorHAnsi" w:hAnsiTheme="minorHAnsi" w:cstheme="minorHAnsi"/>
        </w:rPr>
        <w:t>S</w:t>
      </w:r>
      <w:r w:rsidR="00063F3D" w:rsidRPr="00610FDF">
        <w:rPr>
          <w:rFonts w:asciiTheme="minorHAnsi" w:hAnsiTheme="minorHAnsi" w:cstheme="minorHAnsi"/>
        </w:rPr>
        <w:t>elected federal rules – upcoming effective dates</w:t>
      </w:r>
      <w:bookmarkEnd w:id="58"/>
      <w:bookmarkEnd w:id="59"/>
      <w:bookmarkEnd w:id="60"/>
      <w:bookmarkEnd w:id="61"/>
    </w:p>
    <w:bookmarkEnd w:id="62"/>
    <w:p w14:paraId="3B717501" w14:textId="1B05F437" w:rsidR="00063F3D" w:rsidRPr="0077105F" w:rsidRDefault="00063F3D" w:rsidP="00063F3D">
      <w:pPr>
        <w:pStyle w:val="CCIssuance"/>
        <w:rPr>
          <w:rFonts w:asciiTheme="minorHAnsi" w:hAnsiTheme="minorHAnsi" w:cstheme="minorHAnsi"/>
          <w:b w:val="0"/>
          <w:color w:val="auto"/>
        </w:rPr>
      </w:pPr>
      <w:r w:rsidRPr="0077105F">
        <w:rPr>
          <w:rFonts w:asciiTheme="minorHAnsi" w:hAnsiTheme="minorHAnsi" w:cstheme="minorHAnsi"/>
          <w:b w:val="0"/>
        </w:rPr>
        <w:t>Not all final rules are included. Only rules affecting community banks are reported, but we make no guarantees that these are all the final rules your bank needs to know.</w:t>
      </w:r>
    </w:p>
    <w:p w14:paraId="0AA2751B" w14:textId="77777777" w:rsidR="00063F3D" w:rsidRPr="00436AD8" w:rsidRDefault="00063F3D" w:rsidP="00063F3D">
      <w:pPr>
        <w:pBdr>
          <w:bottom w:val="single" w:sz="12" w:space="1" w:color="auto"/>
        </w:pBdr>
        <w:ind w:left="1440" w:hanging="1440"/>
        <w:rPr>
          <w:rFonts w:cstheme="minorHAnsi"/>
          <w:b/>
          <w:sz w:val="18"/>
          <w:szCs w:val="18"/>
        </w:rPr>
      </w:pPr>
      <w:r w:rsidRPr="00436AD8">
        <w:rPr>
          <w:rFonts w:cstheme="minorHAnsi"/>
          <w:b/>
          <w:sz w:val="18"/>
          <w:szCs w:val="18"/>
        </w:rPr>
        <w:t xml:space="preserve">EFFECTIVE </w:t>
      </w:r>
    </w:p>
    <w:p w14:paraId="15733E6A" w14:textId="77777777" w:rsidR="00063F3D" w:rsidRPr="00436AD8" w:rsidRDefault="00063F3D" w:rsidP="00063F3D">
      <w:pPr>
        <w:pBdr>
          <w:bottom w:val="single" w:sz="12" w:space="1" w:color="auto"/>
        </w:pBdr>
        <w:ind w:left="1440" w:hanging="1440"/>
        <w:rPr>
          <w:rFonts w:cstheme="minorHAnsi"/>
          <w:b/>
          <w:sz w:val="18"/>
          <w:szCs w:val="18"/>
        </w:rPr>
      </w:pPr>
      <w:r w:rsidRPr="00436AD8">
        <w:rPr>
          <w:rFonts w:cstheme="minorHAnsi"/>
          <w:b/>
          <w:sz w:val="18"/>
          <w:szCs w:val="18"/>
        </w:rPr>
        <w:t>DATE:</w:t>
      </w:r>
      <w:r w:rsidRPr="00436AD8">
        <w:rPr>
          <w:rFonts w:cstheme="minorHAnsi"/>
          <w:b/>
          <w:sz w:val="18"/>
          <w:szCs w:val="18"/>
        </w:rPr>
        <w:tab/>
        <w:t>SUMMARY OF FINAL RULE:</w:t>
      </w:r>
    </w:p>
    <w:p w14:paraId="012E256E" w14:textId="77777777" w:rsidR="00063F3D" w:rsidRPr="00EE616A" w:rsidRDefault="00063F3D" w:rsidP="00063F3D">
      <w:pPr>
        <w:pStyle w:val="CCComment"/>
        <w:rPr>
          <w:rFonts w:asciiTheme="minorHAnsi" w:hAnsiTheme="minorHAnsi" w:cstheme="minorHAnsi"/>
          <w:b w:val="0"/>
          <w:color w:val="auto"/>
          <w:sz w:val="18"/>
          <w:szCs w:val="18"/>
        </w:rPr>
      </w:pPr>
    </w:p>
    <w:p w14:paraId="535051A4" w14:textId="46C19914" w:rsidR="007D68C8" w:rsidRDefault="007D68C8" w:rsidP="00BA1F39">
      <w:pPr>
        <w:pStyle w:val="CCComment"/>
        <w:ind w:left="1440" w:hanging="1440"/>
        <w:rPr>
          <w:rFonts w:asciiTheme="minorHAnsi" w:hAnsiTheme="minorHAnsi" w:cstheme="minorHAnsi"/>
          <w:b w:val="0"/>
          <w:i w:val="0"/>
          <w:color w:val="auto"/>
          <w:sz w:val="18"/>
          <w:szCs w:val="18"/>
          <w:u w:val="single"/>
        </w:rPr>
      </w:pPr>
      <w:r>
        <w:rPr>
          <w:rFonts w:asciiTheme="minorHAnsi" w:hAnsiTheme="minorHAnsi" w:cstheme="minorHAnsi"/>
          <w:b w:val="0"/>
          <w:i w:val="0"/>
          <w:color w:val="auto"/>
          <w:sz w:val="18"/>
          <w:szCs w:val="18"/>
        </w:rPr>
        <w:t>09.03.2019</w:t>
      </w:r>
      <w:r>
        <w:rPr>
          <w:rFonts w:asciiTheme="minorHAnsi" w:hAnsiTheme="minorHAnsi" w:cstheme="minorHAnsi"/>
          <w:b w:val="0"/>
          <w:i w:val="0"/>
          <w:color w:val="auto"/>
          <w:sz w:val="18"/>
          <w:szCs w:val="18"/>
        </w:rPr>
        <w:tab/>
      </w:r>
      <w:hyperlink r:id="rId91" w:history="1">
        <w:r w:rsidR="001B0363" w:rsidRPr="001B0363">
          <w:rPr>
            <w:rStyle w:val="Hyperlink"/>
            <w:rFonts w:asciiTheme="minorHAnsi" w:hAnsiTheme="minorHAnsi" w:cstheme="minorHAnsi"/>
            <w:b w:val="0"/>
            <w:i w:val="0"/>
            <w:sz w:val="18"/>
            <w:szCs w:val="18"/>
          </w:rPr>
          <w:t>Availability of Funds and Collection of Checks (Regulation CC)</w:t>
        </w:r>
      </w:hyperlink>
      <w:r w:rsidR="001B0363">
        <w:rPr>
          <w:rFonts w:asciiTheme="minorHAnsi" w:hAnsiTheme="minorHAnsi" w:cstheme="minorHAnsi"/>
          <w:b w:val="0"/>
          <w:i w:val="0"/>
          <w:color w:val="auto"/>
          <w:sz w:val="18"/>
          <w:szCs w:val="18"/>
        </w:rPr>
        <w:t xml:space="preserve"> -</w:t>
      </w:r>
      <w:r w:rsidR="001B0363" w:rsidRPr="001B0363">
        <w:rPr>
          <w:rFonts w:asciiTheme="minorHAnsi" w:hAnsiTheme="minorHAnsi" w:cstheme="minorHAnsi"/>
          <w:b w:val="0"/>
          <w:i w:val="0"/>
          <w:color w:val="auto"/>
          <w:sz w:val="18"/>
          <w:szCs w:val="18"/>
        </w:rPr>
        <w:t xml:space="preserve">The Board and the Bureau (Agencies) are amending Regulation CC, which implements the Expedited Funds Availability Act (EFA Act), to implement a statutory requirement in the EFA Act to adjust the dollar amounts under the EFA Act for inflation. The Agencies are also amending Regulation CC to incorporate the Economic Growth, Regulatory Relief, and Consumer Protection Act (EGRRCPA) amendments to the EFA Act, which include extending coverage to American Samoa, the Commonwealth of the Northern Mariana Islands, and Guam, and making certain </w:t>
      </w:r>
      <w:r w:rsidR="001B0363" w:rsidRPr="001B0363">
        <w:rPr>
          <w:rFonts w:asciiTheme="minorHAnsi" w:hAnsiTheme="minorHAnsi" w:cstheme="minorHAnsi"/>
          <w:b w:val="0"/>
          <w:i w:val="0"/>
          <w:color w:val="auto"/>
          <w:sz w:val="18"/>
          <w:szCs w:val="18"/>
        </w:rPr>
        <w:lastRenderedPageBreak/>
        <w:t>other technical amendments.</w:t>
      </w:r>
      <w:r w:rsidR="001B0363" w:rsidRPr="001B0363">
        <w:t xml:space="preserve"> </w:t>
      </w:r>
      <w:r w:rsidR="001B0363" w:rsidRPr="0083598C">
        <w:rPr>
          <w:rFonts w:asciiTheme="minorHAnsi" w:hAnsiTheme="minorHAnsi" w:cstheme="minorHAnsi"/>
          <w:b w:val="0"/>
          <w:i w:val="0"/>
          <w:color w:val="auto"/>
          <w:sz w:val="18"/>
          <w:szCs w:val="18"/>
          <w:u w:val="single"/>
        </w:rPr>
        <w:t>This rule is effective September 3, 2019, except for the amendments to 12 CFR 229.1, 229.10, 229.11, 229.12(d), 229.21, and appendix E to part 229, which are effective July 1, 2020.</w:t>
      </w:r>
    </w:p>
    <w:p w14:paraId="49676CFD" w14:textId="51546750" w:rsidR="008B7518" w:rsidRPr="008B7518" w:rsidRDefault="008B7518" w:rsidP="008B7518">
      <w:pPr>
        <w:pStyle w:val="CCComment"/>
        <w:ind w:left="1440" w:hanging="1440"/>
        <w:rPr>
          <w:rFonts w:asciiTheme="minorHAnsi" w:hAnsiTheme="minorHAnsi" w:cstheme="minorHAnsi"/>
          <w:b w:val="0"/>
          <w:i w:val="0"/>
          <w:color w:val="auto"/>
          <w:sz w:val="18"/>
          <w:szCs w:val="18"/>
        </w:rPr>
      </w:pPr>
      <w:bookmarkStart w:id="63" w:name="_Hlk17185311"/>
      <w:r w:rsidRPr="008B7518">
        <w:rPr>
          <w:rFonts w:asciiTheme="minorHAnsi" w:hAnsiTheme="minorHAnsi" w:cstheme="minorHAnsi"/>
          <w:b w:val="0"/>
          <w:i w:val="0"/>
          <w:color w:val="auto"/>
          <w:sz w:val="18"/>
          <w:szCs w:val="18"/>
        </w:rPr>
        <w:t>10.01.2019</w:t>
      </w:r>
      <w:r w:rsidRPr="008B7518">
        <w:rPr>
          <w:rFonts w:asciiTheme="minorHAnsi" w:hAnsiTheme="minorHAnsi" w:cstheme="minorHAnsi"/>
          <w:b w:val="0"/>
          <w:i w:val="0"/>
          <w:color w:val="auto"/>
          <w:sz w:val="18"/>
          <w:szCs w:val="18"/>
        </w:rPr>
        <w:tab/>
      </w:r>
      <w:hyperlink r:id="rId92" w:history="1">
        <w:r w:rsidRPr="008B7518">
          <w:rPr>
            <w:rStyle w:val="Hyperlink"/>
            <w:rFonts w:asciiTheme="minorHAnsi" w:hAnsiTheme="minorHAnsi" w:cstheme="minorHAnsi"/>
            <w:b w:val="0"/>
            <w:i w:val="0"/>
            <w:sz w:val="18"/>
            <w:szCs w:val="18"/>
          </w:rPr>
          <w:t>Regulatory Capital Rule: Simplifications to the Capital Rule Pursuant to the Economic Growth and Regulatory Paperwork Reduction Act of 1996</w:t>
        </w:r>
      </w:hyperlink>
      <w:r>
        <w:rPr>
          <w:rFonts w:asciiTheme="minorHAnsi" w:hAnsiTheme="minorHAnsi" w:cstheme="minorHAnsi"/>
          <w:b w:val="0"/>
          <w:i w:val="0"/>
          <w:color w:val="auto"/>
          <w:sz w:val="18"/>
          <w:szCs w:val="18"/>
        </w:rPr>
        <w:t xml:space="preserve"> - </w:t>
      </w:r>
      <w:r w:rsidRPr="008B7518">
        <w:rPr>
          <w:rFonts w:asciiTheme="minorHAnsi" w:hAnsiTheme="minorHAnsi" w:cstheme="minorHAnsi"/>
          <w:b w:val="0"/>
          <w:i w:val="0"/>
          <w:color w:val="auto"/>
          <w:sz w:val="18"/>
          <w:szCs w:val="18"/>
        </w:rPr>
        <w:t xml:space="preserve">The Office of the Comptroller of the Currency, the Board of Governors of the Federal Reserve System, and the Federal Deposit Insurance Corporation (collectively, the agencies) are adopting a final rule (final rule) to simplify certain aspects of the capital rule. The final rule is responsive to the agencies' March 2017 report to Congress pursuant to the Economic Growth and Regulatory Paperwork Reduction Act of 1996, in which the agencies committed to meaningfully reduce regulatory burden, especially on community banking organizations. The key elements of the final rule apply solely to banking organizations that are not subject to the advanced approaches capital rule (non-advanced approaches banking organizations). Under the final rule, non-advanced approaches banking organizations will be subject to simpler regulatory capital requirements for mortgage servicing assets, certain deferred tax assets arising from temporary differences, and investments in the capital of unconsolidated financial institutions than those currently applied. The final rule also simplifies, for non-advanced approaches banking organizations, the calculation </w:t>
      </w:r>
      <w:proofErr w:type="gramStart"/>
      <w:r w:rsidRPr="008B7518">
        <w:rPr>
          <w:rFonts w:asciiTheme="minorHAnsi" w:hAnsiTheme="minorHAnsi" w:cstheme="minorHAnsi"/>
          <w:b w:val="0"/>
          <w:i w:val="0"/>
          <w:color w:val="auto"/>
          <w:sz w:val="18"/>
          <w:szCs w:val="18"/>
        </w:rPr>
        <w:t>for the amount of</w:t>
      </w:r>
      <w:proofErr w:type="gramEnd"/>
      <w:r w:rsidRPr="008B7518">
        <w:rPr>
          <w:rFonts w:asciiTheme="minorHAnsi" w:hAnsiTheme="minorHAnsi" w:cstheme="minorHAnsi"/>
          <w:b w:val="0"/>
          <w:i w:val="0"/>
          <w:color w:val="auto"/>
          <w:sz w:val="18"/>
          <w:szCs w:val="18"/>
        </w:rPr>
        <w:t xml:space="preserve"> capital issued by a consolidated subsidiary of a banking organization and held by third parties (sometimes referred to as a minority interest) that is includable in regulatory capital. In addition, the final rule makes technical amendments to, and clarifies certain aspects of, the agencies' capital rule for both non-advanced approaches banking organizations and advanced approaches banking organizations (technical amendments). Revisions to the definition of high-volatility commercial real estate exposure in the agencies' capital rule are being addressed in a separate rulemaking.</w:t>
      </w:r>
      <w:r w:rsidRPr="008B7518">
        <w:t xml:space="preserve"> </w:t>
      </w:r>
      <w:r w:rsidRPr="008B7518">
        <w:rPr>
          <w:rFonts w:asciiTheme="minorHAnsi" w:hAnsiTheme="minorHAnsi" w:cstheme="minorHAnsi"/>
          <w:b w:val="0"/>
          <w:i w:val="0"/>
          <w:color w:val="auto"/>
          <w:sz w:val="18"/>
          <w:szCs w:val="18"/>
          <w:u w:val="single"/>
        </w:rPr>
        <w:t>This rule is effective October 1, 2019, except for the amendments to 12 CFR 3.21, 3.22, 3.300, 217.21, 217.22, 217.300(b) and (d), 324.21, 324.22, and 324.300, which are effective April 1, 2020. For more information, see SUPPLEMENTARY INFORMATION.</w:t>
      </w:r>
    </w:p>
    <w:bookmarkEnd w:id="63"/>
    <w:p w14:paraId="11199EB3" w14:textId="36C93AE8" w:rsidR="00FC6653" w:rsidRDefault="00FC6653" w:rsidP="00FC6653">
      <w:pPr>
        <w:pStyle w:val="CCComment"/>
        <w:ind w:left="1440" w:hanging="1440"/>
        <w:rPr>
          <w:rFonts w:asciiTheme="minorHAnsi" w:hAnsiTheme="minorHAnsi" w:cstheme="minorHAnsi"/>
          <w:b w:val="0"/>
          <w:i w:val="0"/>
          <w:color w:val="auto"/>
          <w:sz w:val="18"/>
          <w:szCs w:val="18"/>
          <w:u w:val="single"/>
        </w:rPr>
      </w:pPr>
      <w:r w:rsidRPr="008B7518">
        <w:rPr>
          <w:rFonts w:asciiTheme="minorHAnsi" w:hAnsiTheme="minorHAnsi" w:cstheme="minorHAnsi"/>
          <w:b w:val="0"/>
          <w:i w:val="0"/>
          <w:color w:val="auto"/>
          <w:sz w:val="18"/>
          <w:szCs w:val="18"/>
        </w:rPr>
        <w:t>10.01.2019</w:t>
      </w:r>
      <w:r w:rsidRPr="008B7518">
        <w:rPr>
          <w:rFonts w:asciiTheme="minorHAnsi" w:hAnsiTheme="minorHAnsi" w:cstheme="minorHAnsi"/>
          <w:b w:val="0"/>
          <w:i w:val="0"/>
          <w:color w:val="auto"/>
          <w:sz w:val="18"/>
          <w:szCs w:val="18"/>
        </w:rPr>
        <w:tab/>
      </w:r>
      <w:hyperlink r:id="rId93" w:history="1">
        <w:r w:rsidRPr="00FC6653">
          <w:rPr>
            <w:rStyle w:val="Hyperlink"/>
            <w:rFonts w:asciiTheme="minorHAnsi" w:hAnsiTheme="minorHAnsi" w:cs="Arial"/>
            <w:b w:val="0"/>
            <w:bCs/>
            <w:i w:val="0"/>
            <w:iCs/>
            <w:sz w:val="18"/>
            <w:szCs w:val="18"/>
          </w:rPr>
          <w:t>Recordkeeping for Timely Deposit Insurance Determination</w:t>
        </w:r>
      </w:hyperlink>
      <w:r w:rsidRPr="00FC6653">
        <w:rPr>
          <w:rFonts w:asciiTheme="minorHAnsi" w:hAnsiTheme="minorHAnsi" w:cstheme="minorHAnsi"/>
          <w:b w:val="0"/>
          <w:bCs/>
          <w:i w:val="0"/>
          <w:iCs/>
          <w:color w:val="auto"/>
          <w:sz w:val="18"/>
          <w:szCs w:val="18"/>
        </w:rPr>
        <w:t xml:space="preserve"> -</w:t>
      </w:r>
      <w:r>
        <w:rPr>
          <w:rFonts w:asciiTheme="minorHAnsi" w:hAnsiTheme="minorHAnsi" w:cstheme="minorHAnsi"/>
          <w:b w:val="0"/>
          <w:i w:val="0"/>
          <w:color w:val="auto"/>
          <w:sz w:val="18"/>
          <w:szCs w:val="18"/>
        </w:rPr>
        <w:t xml:space="preserve"> </w:t>
      </w:r>
      <w:r w:rsidRPr="00FC6653">
        <w:rPr>
          <w:rFonts w:asciiTheme="minorHAnsi" w:hAnsiTheme="minorHAnsi" w:cstheme="minorHAnsi"/>
          <w:b w:val="0"/>
          <w:i w:val="0"/>
          <w:color w:val="auto"/>
          <w:sz w:val="18"/>
          <w:szCs w:val="18"/>
        </w:rPr>
        <w:t>The FDIC is amending its rule entitled “Recordkeeping for Timely Deposit Insurance Determination” to clarify the rule's requirements, better align the burdens of the rule with the benefits, and make technical corrections.</w:t>
      </w:r>
      <w:r w:rsidRPr="00FC6653">
        <w:rPr>
          <w:rFonts w:asciiTheme="minorHAnsi" w:hAnsiTheme="minorHAnsi" w:cstheme="minorHAnsi"/>
          <w:b w:val="0"/>
          <w:i w:val="0"/>
          <w:color w:val="auto"/>
          <w:sz w:val="18"/>
          <w:szCs w:val="18"/>
          <w:u w:val="single"/>
        </w:rPr>
        <w:t xml:space="preserve"> </w:t>
      </w:r>
      <w:r w:rsidRPr="00D1781B">
        <w:rPr>
          <w:rFonts w:asciiTheme="minorHAnsi" w:hAnsiTheme="minorHAnsi" w:cstheme="minorHAnsi"/>
          <w:b w:val="0"/>
          <w:i w:val="0"/>
          <w:color w:val="auto"/>
          <w:sz w:val="18"/>
          <w:szCs w:val="18"/>
          <w:u w:val="single"/>
        </w:rPr>
        <w:t xml:space="preserve">This rule is effective on </w:t>
      </w:r>
      <w:r>
        <w:rPr>
          <w:rFonts w:asciiTheme="minorHAnsi" w:hAnsiTheme="minorHAnsi" w:cstheme="minorHAnsi"/>
          <w:b w:val="0"/>
          <w:i w:val="0"/>
          <w:color w:val="auto"/>
          <w:sz w:val="18"/>
          <w:szCs w:val="18"/>
          <w:u w:val="single"/>
        </w:rPr>
        <w:t>October</w:t>
      </w:r>
      <w:r w:rsidRPr="00D1781B">
        <w:rPr>
          <w:rFonts w:asciiTheme="minorHAnsi" w:hAnsiTheme="minorHAnsi" w:cstheme="minorHAnsi"/>
          <w:b w:val="0"/>
          <w:i w:val="0"/>
          <w:color w:val="auto"/>
          <w:sz w:val="18"/>
          <w:szCs w:val="18"/>
          <w:u w:val="single"/>
        </w:rPr>
        <w:t xml:space="preserve"> </w:t>
      </w:r>
      <w:r>
        <w:rPr>
          <w:rFonts w:asciiTheme="minorHAnsi" w:hAnsiTheme="minorHAnsi" w:cstheme="minorHAnsi"/>
          <w:b w:val="0"/>
          <w:i w:val="0"/>
          <w:color w:val="auto"/>
          <w:sz w:val="18"/>
          <w:szCs w:val="18"/>
          <w:u w:val="single"/>
        </w:rPr>
        <w:t>01</w:t>
      </w:r>
      <w:r w:rsidRPr="00D1781B">
        <w:rPr>
          <w:rFonts w:asciiTheme="minorHAnsi" w:hAnsiTheme="minorHAnsi" w:cstheme="minorHAnsi"/>
          <w:b w:val="0"/>
          <w:i w:val="0"/>
          <w:color w:val="auto"/>
          <w:sz w:val="18"/>
          <w:szCs w:val="18"/>
          <w:u w:val="single"/>
        </w:rPr>
        <w:t>, 2019.</w:t>
      </w:r>
    </w:p>
    <w:p w14:paraId="60E5AC39" w14:textId="5248032C" w:rsidR="0021592B" w:rsidRPr="0021592B" w:rsidRDefault="0021592B" w:rsidP="00FC6653">
      <w:pPr>
        <w:pStyle w:val="CCComment"/>
        <w:ind w:left="1440" w:hanging="1440"/>
        <w:rPr>
          <w:rFonts w:asciiTheme="minorHAnsi" w:hAnsiTheme="minorHAnsi" w:cstheme="minorHAnsi"/>
          <w:b w:val="0"/>
          <w:i w:val="0"/>
          <w:color w:val="auto"/>
          <w:sz w:val="18"/>
          <w:szCs w:val="18"/>
        </w:rPr>
      </w:pPr>
      <w:r w:rsidRPr="005B553C">
        <w:rPr>
          <w:rFonts w:asciiTheme="minorHAnsi" w:hAnsiTheme="minorHAnsi" w:cstheme="minorHAnsi"/>
          <w:b w:val="0"/>
          <w:i w:val="0"/>
          <w:color w:val="auto"/>
          <w:sz w:val="18"/>
          <w:szCs w:val="18"/>
        </w:rPr>
        <w:t>10.09.2019</w:t>
      </w:r>
      <w:r w:rsidRPr="005B553C">
        <w:rPr>
          <w:rFonts w:asciiTheme="minorHAnsi" w:hAnsiTheme="minorHAnsi" w:cstheme="minorHAnsi"/>
          <w:b w:val="0"/>
          <w:i w:val="0"/>
          <w:color w:val="auto"/>
          <w:sz w:val="18"/>
          <w:szCs w:val="18"/>
        </w:rPr>
        <w:tab/>
      </w:r>
      <w:hyperlink r:id="rId94" w:history="1">
        <w:r w:rsidRPr="005B553C">
          <w:rPr>
            <w:rStyle w:val="Hyperlink"/>
            <w:rFonts w:asciiTheme="minorHAnsi" w:hAnsiTheme="minorHAnsi" w:cstheme="minorHAnsi"/>
            <w:b w:val="0"/>
            <w:i w:val="0"/>
            <w:sz w:val="18"/>
            <w:szCs w:val="18"/>
          </w:rPr>
          <w:t>Real Estate Appraisals -</w:t>
        </w:r>
      </w:hyperlink>
      <w:r w:rsidRPr="005B553C">
        <w:rPr>
          <w:rFonts w:asciiTheme="minorHAnsi" w:hAnsiTheme="minorHAnsi" w:cstheme="minorHAnsi"/>
          <w:b w:val="0"/>
          <w:i w:val="0"/>
          <w:color w:val="auto"/>
          <w:sz w:val="18"/>
          <w:szCs w:val="18"/>
        </w:rPr>
        <w:t xml:space="preserve"> SUMMARY: The OCC, Board, and FDIC (collectively, the agencies) are adopting a final rule to amend the agencies’ regulations requiring appraisals of real estate for certain transactions. The final rule increases the threshold level </w:t>
      </w:r>
      <w:proofErr w:type="gramStart"/>
      <w:r w:rsidRPr="005B553C">
        <w:rPr>
          <w:rFonts w:asciiTheme="minorHAnsi" w:hAnsiTheme="minorHAnsi" w:cstheme="minorHAnsi"/>
          <w:b w:val="0"/>
          <w:i w:val="0"/>
          <w:color w:val="auto"/>
          <w:sz w:val="18"/>
          <w:szCs w:val="18"/>
        </w:rPr>
        <w:t>at</w:t>
      </w:r>
      <w:proofErr w:type="gramEnd"/>
      <w:r w:rsidRPr="005B553C">
        <w:rPr>
          <w:rFonts w:asciiTheme="minorHAnsi" w:hAnsiTheme="minorHAnsi" w:cstheme="minorHAnsi"/>
          <w:b w:val="0"/>
          <w:i w:val="0"/>
          <w:color w:val="auto"/>
          <w:sz w:val="18"/>
          <w:szCs w:val="18"/>
        </w:rPr>
        <w:t xml:space="preserve"> or below which appraisals are not required for residential real estate transactions from $250,000 to $400,000. The final rule defines a residential real estate transaction as a real estate-related financial transaction that is secured by a single 1-to-4 family residential property. For residential real estate transactions exempted from the appraisal requirement as a result of the revised threshold, regulated institutions must obtain an evaluation of the real property collateral that is consistent with safe and sound banking practices. The final rule makes a conforming change to add to the list of exempt transactions those transactions secured by residential property in rural areas that have been exempted from the agencies’ appraisal requirement pursuant to the Economic Growth, Regulatory Relief, and Consumer Protection Act. The final rule requires evaluations for these exempt transactions. The final rule also amends the agencies’ appraisal regulations to require regulated institutions to subject appraisals for federally related transactions to appropriate review for compliance with the Uniform Standards of Professional Appraisal Practice.</w:t>
      </w:r>
      <w:r w:rsidRPr="005B553C">
        <w:t xml:space="preserve"> </w:t>
      </w:r>
      <w:r w:rsidRPr="005B553C">
        <w:rPr>
          <w:rFonts w:asciiTheme="minorHAnsi" w:hAnsiTheme="minorHAnsi" w:cstheme="minorHAnsi"/>
          <w:b w:val="0"/>
          <w:i w:val="0"/>
          <w:color w:val="auto"/>
          <w:sz w:val="18"/>
          <w:szCs w:val="18"/>
          <w:u w:val="single"/>
        </w:rPr>
        <w:t>DATES: This final rule is effective on October 9, 2019, except for the amendments in instructions 4, 5, 9, 10, 14, and 15, which are effective on January 1, 2020.</w:t>
      </w:r>
    </w:p>
    <w:p w14:paraId="073367FF" w14:textId="6E30C09F" w:rsidR="00ED41C9" w:rsidRPr="00ED41C9" w:rsidRDefault="00ED41C9" w:rsidP="00FC6653">
      <w:pPr>
        <w:pStyle w:val="CCComment"/>
        <w:ind w:left="1440" w:hanging="1440"/>
        <w:rPr>
          <w:rFonts w:asciiTheme="minorHAnsi" w:hAnsiTheme="minorHAnsi" w:cstheme="minorHAnsi"/>
          <w:b w:val="0"/>
          <w:i w:val="0"/>
          <w:color w:val="auto"/>
          <w:sz w:val="18"/>
          <w:szCs w:val="18"/>
        </w:rPr>
      </w:pPr>
      <w:bookmarkStart w:id="64" w:name="_Hlk22638697"/>
      <w:r w:rsidRPr="005B553C">
        <w:rPr>
          <w:rFonts w:asciiTheme="minorHAnsi" w:hAnsiTheme="minorHAnsi" w:cstheme="minorHAnsi"/>
          <w:b w:val="0"/>
          <w:i w:val="0"/>
          <w:color w:val="auto"/>
          <w:sz w:val="18"/>
          <w:szCs w:val="18"/>
        </w:rPr>
        <w:t>10.10.2019</w:t>
      </w:r>
      <w:r w:rsidRPr="005B553C">
        <w:rPr>
          <w:rFonts w:asciiTheme="minorHAnsi" w:hAnsiTheme="minorHAnsi" w:cstheme="minorHAnsi"/>
          <w:b w:val="0"/>
          <w:i w:val="0"/>
          <w:color w:val="auto"/>
          <w:sz w:val="18"/>
          <w:szCs w:val="18"/>
        </w:rPr>
        <w:tab/>
      </w:r>
      <w:hyperlink r:id="rId95" w:history="1">
        <w:r w:rsidRPr="005B553C">
          <w:rPr>
            <w:rStyle w:val="Hyperlink"/>
            <w:rFonts w:asciiTheme="minorHAnsi" w:hAnsiTheme="minorHAnsi" w:cstheme="minorHAnsi"/>
            <w:b w:val="0"/>
            <w:i w:val="0"/>
            <w:sz w:val="18"/>
            <w:szCs w:val="18"/>
          </w:rPr>
          <w:t xml:space="preserve">Thresholds Increase for the Major Assets Prohibition of the Depository Institution Management Interlocks Act Rules </w:t>
        </w:r>
        <w:r w:rsidR="00C20496" w:rsidRPr="005B553C">
          <w:rPr>
            <w:rStyle w:val="Hyperlink"/>
            <w:rFonts w:asciiTheme="minorHAnsi" w:hAnsiTheme="minorHAnsi" w:cstheme="minorHAnsi"/>
            <w:b w:val="0"/>
            <w:i w:val="0"/>
            <w:sz w:val="18"/>
            <w:szCs w:val="18"/>
          </w:rPr>
          <w:t>-</w:t>
        </w:r>
      </w:hyperlink>
      <w:r w:rsidR="00C20496" w:rsidRPr="005B553C">
        <w:rPr>
          <w:rFonts w:asciiTheme="minorHAnsi" w:hAnsiTheme="minorHAnsi" w:cstheme="minorHAnsi"/>
          <w:b w:val="0"/>
          <w:i w:val="0"/>
          <w:color w:val="auto"/>
          <w:sz w:val="18"/>
          <w:szCs w:val="18"/>
        </w:rPr>
        <w:t xml:space="preserve"> </w:t>
      </w:r>
      <w:r w:rsidRPr="005B553C">
        <w:rPr>
          <w:rFonts w:asciiTheme="minorHAnsi" w:hAnsiTheme="minorHAnsi" w:cstheme="minorHAnsi"/>
          <w:b w:val="0"/>
          <w:i w:val="0"/>
          <w:color w:val="auto"/>
          <w:sz w:val="18"/>
          <w:szCs w:val="18"/>
        </w:rPr>
        <w:t xml:space="preserve">SUMMARY: The OCC, the Board, and the FDIC (collectively, the agencies) are issuing a final rule that increases the thresholds in the major assets prohibition for management interlocks for purposes of the Depository Institution Management Interlocks Act (DIMIA). The DIMIA major assets prohibition prohibits a management official of a depository organization with total assets exceeding $2.5 billion (or any affiliate of such an organization) from serving at the same time as a management official of an unaffiliated depository organization with total assets exceeding $1.5 billion (or any affiliate of such an organization). DIMIA provides that the agencies may adjust, by regulation, the major assets prohibition thresholds in order to allow for inflation or market changes. The final rule increases both major assets prohibition thresholds to $10 billion to account for changes in the United States banking market since the current thresholds were established in 1996. </w:t>
      </w:r>
      <w:r w:rsidRPr="005B553C">
        <w:rPr>
          <w:rFonts w:asciiTheme="minorHAnsi" w:hAnsiTheme="minorHAnsi" w:cstheme="minorHAnsi"/>
          <w:b w:val="0"/>
          <w:i w:val="0"/>
          <w:color w:val="auto"/>
          <w:sz w:val="18"/>
          <w:szCs w:val="18"/>
          <w:u w:val="single"/>
        </w:rPr>
        <w:t>DATES: The final rule is effective on October 10, 2019.</w:t>
      </w:r>
    </w:p>
    <w:bookmarkEnd w:id="64"/>
    <w:p w14:paraId="103319D8" w14:textId="7293047D" w:rsidR="00F12ED0" w:rsidRDefault="00336572" w:rsidP="00BA1F39">
      <w:pPr>
        <w:pStyle w:val="CCComment"/>
        <w:ind w:left="1440" w:hanging="1440"/>
        <w:rPr>
          <w:rFonts w:asciiTheme="minorHAnsi" w:hAnsiTheme="minorHAnsi" w:cstheme="minorHAnsi"/>
          <w:b w:val="0"/>
          <w:i w:val="0"/>
          <w:color w:val="auto"/>
          <w:sz w:val="18"/>
          <w:szCs w:val="18"/>
          <w:u w:val="single"/>
        </w:rPr>
      </w:pPr>
      <w:r>
        <w:rPr>
          <w:rFonts w:asciiTheme="minorHAnsi" w:hAnsiTheme="minorHAnsi" w:cstheme="minorHAnsi"/>
          <w:b w:val="0"/>
          <w:i w:val="0"/>
          <w:color w:val="auto"/>
          <w:sz w:val="18"/>
          <w:szCs w:val="18"/>
        </w:rPr>
        <w:t>11.24.2019</w:t>
      </w:r>
      <w:r>
        <w:rPr>
          <w:rFonts w:asciiTheme="minorHAnsi" w:hAnsiTheme="minorHAnsi" w:cstheme="minorHAnsi"/>
          <w:b w:val="0"/>
          <w:i w:val="0"/>
          <w:color w:val="auto"/>
          <w:sz w:val="18"/>
          <w:szCs w:val="18"/>
        </w:rPr>
        <w:tab/>
      </w:r>
      <w:hyperlink r:id="rId96" w:history="1">
        <w:r w:rsidRPr="00BA1F39">
          <w:rPr>
            <w:rStyle w:val="Hyperlink"/>
            <w:rFonts w:asciiTheme="minorHAnsi" w:hAnsiTheme="minorHAnsi" w:cstheme="minorHAnsi"/>
            <w:b w:val="0"/>
            <w:i w:val="0"/>
            <w:sz w:val="18"/>
            <w:szCs w:val="18"/>
          </w:rPr>
          <w:t>Sec. 106 of Economic Growth, Regulatory Relief, and Consumer Protection Act</w:t>
        </w:r>
        <w:r w:rsidR="00BA1F39" w:rsidRPr="00BA1F39">
          <w:rPr>
            <w:rStyle w:val="Hyperlink"/>
            <w:rFonts w:asciiTheme="minorHAnsi" w:hAnsiTheme="minorHAnsi" w:cstheme="minorHAnsi"/>
            <w:b w:val="0"/>
            <w:i w:val="0"/>
            <w:sz w:val="18"/>
            <w:szCs w:val="18"/>
          </w:rPr>
          <w:t xml:space="preserve"> titled ‘Eliminating barriers to jobs for loan originators.’</w:t>
        </w:r>
      </w:hyperlink>
      <w:r>
        <w:rPr>
          <w:rFonts w:asciiTheme="minorHAnsi" w:hAnsiTheme="minorHAnsi" w:cstheme="minorHAnsi"/>
          <w:b w:val="0"/>
          <w:i w:val="0"/>
          <w:color w:val="auto"/>
          <w:sz w:val="18"/>
          <w:szCs w:val="18"/>
        </w:rPr>
        <w:t xml:space="preserve"> -</w:t>
      </w:r>
      <w:r w:rsidR="00BA1F39" w:rsidRPr="00BA1F39">
        <w:t xml:space="preserve"> </w:t>
      </w:r>
      <w:r w:rsidR="00BA1F39" w:rsidRPr="00BA1F39">
        <w:rPr>
          <w:rFonts w:asciiTheme="minorHAnsi" w:hAnsiTheme="minorHAnsi" w:cstheme="minorHAnsi"/>
          <w:b w:val="0"/>
          <w:i w:val="0"/>
          <w:color w:val="auto"/>
          <w:sz w:val="18"/>
          <w:szCs w:val="18"/>
        </w:rPr>
        <w:t>Section 106 allows certain state-licensed mortgage loan originators (MLOs) who are licensed in</w:t>
      </w:r>
      <w:r w:rsidR="00BA1F39">
        <w:rPr>
          <w:rFonts w:asciiTheme="minorHAnsi" w:hAnsiTheme="minorHAnsi" w:cstheme="minorHAnsi"/>
          <w:b w:val="0"/>
          <w:i w:val="0"/>
          <w:color w:val="auto"/>
          <w:sz w:val="18"/>
          <w:szCs w:val="18"/>
        </w:rPr>
        <w:t xml:space="preserve"> </w:t>
      </w:r>
      <w:r w:rsidR="00BA1F39" w:rsidRPr="00BA1F39">
        <w:rPr>
          <w:rFonts w:asciiTheme="minorHAnsi" w:hAnsiTheme="minorHAnsi" w:cstheme="minorHAnsi"/>
          <w:b w:val="0"/>
          <w:i w:val="0"/>
          <w:color w:val="auto"/>
          <w:sz w:val="18"/>
          <w:szCs w:val="18"/>
        </w:rPr>
        <w:t>one state to temporarily work in another state while waiting for licensing approval in the new</w:t>
      </w:r>
      <w:r w:rsidR="00BA1F39">
        <w:rPr>
          <w:rFonts w:asciiTheme="minorHAnsi" w:hAnsiTheme="minorHAnsi" w:cstheme="minorHAnsi"/>
          <w:b w:val="0"/>
          <w:i w:val="0"/>
          <w:color w:val="auto"/>
          <w:sz w:val="18"/>
          <w:szCs w:val="18"/>
        </w:rPr>
        <w:t xml:space="preserve"> </w:t>
      </w:r>
      <w:r w:rsidR="00BA1F39" w:rsidRPr="00BA1F39">
        <w:rPr>
          <w:rFonts w:asciiTheme="minorHAnsi" w:hAnsiTheme="minorHAnsi" w:cstheme="minorHAnsi"/>
          <w:b w:val="0"/>
          <w:i w:val="0"/>
          <w:color w:val="auto"/>
          <w:sz w:val="18"/>
          <w:szCs w:val="18"/>
        </w:rPr>
        <w:t>state. It also grants MLOs who move from a depository institution (where loan officers do not</w:t>
      </w:r>
      <w:r w:rsidR="00BA1F39">
        <w:rPr>
          <w:rFonts w:asciiTheme="minorHAnsi" w:hAnsiTheme="minorHAnsi" w:cstheme="minorHAnsi"/>
          <w:b w:val="0"/>
          <w:i w:val="0"/>
          <w:color w:val="auto"/>
          <w:sz w:val="18"/>
          <w:szCs w:val="18"/>
        </w:rPr>
        <w:t xml:space="preserve"> </w:t>
      </w:r>
      <w:r w:rsidR="00BA1F39" w:rsidRPr="00BA1F39">
        <w:rPr>
          <w:rFonts w:asciiTheme="minorHAnsi" w:hAnsiTheme="minorHAnsi" w:cstheme="minorHAnsi"/>
          <w:b w:val="0"/>
          <w:i w:val="0"/>
          <w:color w:val="auto"/>
          <w:sz w:val="18"/>
          <w:szCs w:val="18"/>
        </w:rPr>
        <w:t>need to be state licensed) to a non</w:t>
      </w:r>
      <w:r w:rsidR="001E5A7E">
        <w:rPr>
          <w:rFonts w:asciiTheme="minorHAnsi" w:hAnsiTheme="minorHAnsi" w:cstheme="minorHAnsi"/>
          <w:b w:val="0"/>
          <w:i w:val="0"/>
          <w:color w:val="auto"/>
          <w:sz w:val="18"/>
          <w:szCs w:val="18"/>
        </w:rPr>
        <w:t>-</w:t>
      </w:r>
      <w:r w:rsidR="00BA1F39" w:rsidRPr="00BA1F39">
        <w:rPr>
          <w:rFonts w:asciiTheme="minorHAnsi" w:hAnsiTheme="minorHAnsi" w:cstheme="minorHAnsi"/>
          <w:b w:val="0"/>
          <w:i w:val="0"/>
          <w:color w:val="auto"/>
          <w:sz w:val="18"/>
          <w:szCs w:val="18"/>
        </w:rPr>
        <w:t>depository institution (where they do need to be state licensed)</w:t>
      </w:r>
      <w:r w:rsidR="00BA1F39">
        <w:rPr>
          <w:rFonts w:asciiTheme="minorHAnsi" w:hAnsiTheme="minorHAnsi" w:cstheme="minorHAnsi"/>
          <w:b w:val="0"/>
          <w:i w:val="0"/>
          <w:color w:val="auto"/>
          <w:sz w:val="18"/>
          <w:szCs w:val="18"/>
        </w:rPr>
        <w:t xml:space="preserve"> </w:t>
      </w:r>
      <w:r w:rsidR="00BA1F39" w:rsidRPr="00BA1F39">
        <w:rPr>
          <w:rFonts w:asciiTheme="minorHAnsi" w:hAnsiTheme="minorHAnsi" w:cstheme="minorHAnsi"/>
          <w:b w:val="0"/>
          <w:i w:val="0"/>
          <w:color w:val="auto"/>
          <w:sz w:val="18"/>
          <w:szCs w:val="18"/>
        </w:rPr>
        <w:t>a grace period to complete the necessary licensing.</w:t>
      </w:r>
      <w:r w:rsidR="00D1781B" w:rsidRPr="00D1781B">
        <w:t xml:space="preserve"> </w:t>
      </w:r>
      <w:bookmarkStart w:id="65" w:name="_Hlk14941866"/>
      <w:r w:rsidR="00D1781B" w:rsidRPr="00D1781B">
        <w:rPr>
          <w:rFonts w:asciiTheme="minorHAnsi" w:hAnsiTheme="minorHAnsi" w:cstheme="minorHAnsi"/>
          <w:b w:val="0"/>
          <w:i w:val="0"/>
          <w:color w:val="auto"/>
          <w:sz w:val="18"/>
          <w:szCs w:val="18"/>
          <w:u w:val="single"/>
        </w:rPr>
        <w:t>This rule is effective on November 24, 2019.</w:t>
      </w:r>
      <w:bookmarkEnd w:id="65"/>
    </w:p>
    <w:p w14:paraId="00D6AC61" w14:textId="5EBA579D" w:rsidR="00610FDF" w:rsidRPr="005B553C" w:rsidRDefault="00610FDF" w:rsidP="00610FDF">
      <w:pPr>
        <w:pStyle w:val="CCComment"/>
        <w:ind w:left="1440" w:hanging="1440"/>
        <w:rPr>
          <w:rFonts w:asciiTheme="minorHAnsi" w:hAnsiTheme="minorHAnsi" w:cstheme="minorHAnsi"/>
          <w:b w:val="0"/>
          <w:i w:val="0"/>
          <w:color w:val="auto"/>
          <w:sz w:val="18"/>
          <w:szCs w:val="18"/>
        </w:rPr>
      </w:pPr>
      <w:bookmarkStart w:id="66" w:name="_Hlk22638787"/>
      <w:r w:rsidRPr="005B553C">
        <w:rPr>
          <w:rFonts w:asciiTheme="minorHAnsi" w:hAnsiTheme="minorHAnsi" w:cstheme="minorHAnsi"/>
          <w:b w:val="0"/>
          <w:i w:val="0"/>
          <w:color w:val="auto"/>
          <w:sz w:val="18"/>
          <w:szCs w:val="18"/>
        </w:rPr>
        <w:t>01.01.2020</w:t>
      </w:r>
      <w:r w:rsidRPr="005B553C">
        <w:rPr>
          <w:rFonts w:asciiTheme="minorHAnsi" w:hAnsiTheme="minorHAnsi" w:cstheme="minorHAnsi"/>
          <w:b w:val="0"/>
          <w:i w:val="0"/>
          <w:color w:val="auto"/>
          <w:sz w:val="18"/>
          <w:szCs w:val="18"/>
        </w:rPr>
        <w:tab/>
      </w:r>
      <w:hyperlink r:id="rId97" w:history="1">
        <w:r w:rsidRPr="005B553C">
          <w:rPr>
            <w:rStyle w:val="Hyperlink"/>
            <w:rFonts w:asciiTheme="minorHAnsi" w:hAnsiTheme="minorHAnsi" w:cstheme="minorHAnsi"/>
            <w:b w:val="0"/>
            <w:i w:val="0"/>
            <w:sz w:val="18"/>
            <w:szCs w:val="18"/>
          </w:rPr>
          <w:t>U.S. Department of Labor Final Overtime Rule -</w:t>
        </w:r>
      </w:hyperlink>
      <w:r w:rsidRPr="005B553C">
        <w:rPr>
          <w:rFonts w:asciiTheme="minorHAnsi" w:hAnsiTheme="minorHAnsi" w:cstheme="minorHAnsi"/>
          <w:b w:val="0"/>
          <w:i w:val="0"/>
          <w:color w:val="auto"/>
          <w:sz w:val="18"/>
          <w:szCs w:val="18"/>
        </w:rPr>
        <w:t xml:space="preserve"> SUMMARY: The Department of Labor is updating and revising the regulations issued under the Fair Labor Standards Act implementing the exemptions from minimum wage and overtime pay requirements for executive, administrative, professional, outside sales, and computer employees. </w:t>
      </w:r>
      <w:r w:rsidRPr="005B553C">
        <w:rPr>
          <w:rFonts w:asciiTheme="minorHAnsi" w:hAnsiTheme="minorHAnsi" w:cstheme="minorHAnsi"/>
          <w:b w:val="0"/>
          <w:i w:val="0"/>
          <w:color w:val="auto"/>
          <w:sz w:val="18"/>
          <w:szCs w:val="18"/>
          <w:u w:val="single"/>
        </w:rPr>
        <w:t>DATES: This final rule is effective on January 1, 2020.</w:t>
      </w:r>
    </w:p>
    <w:p w14:paraId="26E23D7B" w14:textId="11B8FD36" w:rsidR="0021592B" w:rsidRPr="005B553C" w:rsidRDefault="0021592B" w:rsidP="0021592B">
      <w:pPr>
        <w:pStyle w:val="CCComment"/>
        <w:ind w:left="1440" w:hanging="1440"/>
        <w:rPr>
          <w:rFonts w:asciiTheme="minorHAnsi" w:hAnsiTheme="minorHAnsi" w:cstheme="minorHAnsi"/>
          <w:b w:val="0"/>
          <w:i w:val="0"/>
          <w:color w:val="auto"/>
          <w:sz w:val="18"/>
          <w:szCs w:val="18"/>
        </w:rPr>
      </w:pPr>
      <w:r w:rsidRPr="005B553C">
        <w:rPr>
          <w:rFonts w:asciiTheme="minorHAnsi" w:hAnsiTheme="minorHAnsi" w:cstheme="minorHAnsi"/>
          <w:b w:val="0"/>
          <w:i w:val="0"/>
          <w:color w:val="auto"/>
          <w:sz w:val="18"/>
          <w:szCs w:val="18"/>
        </w:rPr>
        <w:t>01.01.2020</w:t>
      </w:r>
      <w:r w:rsidRPr="005B553C">
        <w:rPr>
          <w:rFonts w:asciiTheme="minorHAnsi" w:hAnsiTheme="minorHAnsi" w:cstheme="minorHAnsi"/>
          <w:b w:val="0"/>
          <w:i w:val="0"/>
          <w:color w:val="auto"/>
          <w:sz w:val="18"/>
          <w:szCs w:val="18"/>
        </w:rPr>
        <w:tab/>
      </w:r>
      <w:hyperlink r:id="rId98" w:history="1">
        <w:r w:rsidRPr="005B553C">
          <w:rPr>
            <w:rStyle w:val="Hyperlink"/>
            <w:rFonts w:asciiTheme="minorHAnsi" w:hAnsiTheme="minorHAnsi" w:cstheme="minorHAnsi"/>
            <w:b w:val="0"/>
            <w:i w:val="0"/>
            <w:sz w:val="18"/>
            <w:szCs w:val="18"/>
          </w:rPr>
          <w:t>Home Mortgage Disclosure (Regulation C) 2019</w:t>
        </w:r>
      </w:hyperlink>
      <w:r w:rsidRPr="005B553C">
        <w:rPr>
          <w:rFonts w:asciiTheme="minorHAnsi" w:hAnsiTheme="minorHAnsi" w:cstheme="minorHAnsi"/>
          <w:b w:val="0"/>
          <w:i w:val="0"/>
          <w:color w:val="auto"/>
          <w:sz w:val="18"/>
          <w:szCs w:val="18"/>
        </w:rPr>
        <w:t xml:space="preserve"> - SUMMARY:  The Bureau of Consumer Financial Protection (Bureau) is amending Regulation C to adjust the threshold for reporting data about open-end lines of credit by extending to January 1, 2022, the current temporary threshold of 500 open-end lines of credit.  The Bureau is also incorporating into Regulation C the interpretations and procedures from the interpretive and procedural rule that the Bureau issued on August 31, 2018, and implementing further section 104(a) of the Economic Growth, Regulatory Relief, and Consumer Protection Act. </w:t>
      </w:r>
      <w:r w:rsidRPr="005B553C">
        <w:rPr>
          <w:rFonts w:asciiTheme="minorHAnsi" w:hAnsiTheme="minorHAnsi" w:cstheme="minorHAnsi"/>
          <w:b w:val="0"/>
          <w:i w:val="0"/>
          <w:color w:val="auto"/>
          <w:sz w:val="18"/>
          <w:szCs w:val="18"/>
          <w:u w:val="single"/>
        </w:rPr>
        <w:t xml:space="preserve">DATES:  This final rule is effective on January 1, 2020, except that the amendments to § 1003.2 in amendatory instruction 6, the </w:t>
      </w:r>
      <w:r w:rsidRPr="005B553C">
        <w:rPr>
          <w:rFonts w:asciiTheme="minorHAnsi" w:hAnsiTheme="minorHAnsi" w:cstheme="minorHAnsi"/>
          <w:b w:val="0"/>
          <w:i w:val="0"/>
          <w:color w:val="auto"/>
          <w:sz w:val="18"/>
          <w:szCs w:val="18"/>
          <w:u w:val="single"/>
        </w:rPr>
        <w:lastRenderedPageBreak/>
        <w:t>amendments to § 1003.3 in amendatory instruction 7, and the amendments to supplement I to part 1003 in amendatory instruction 8 are effective on January 1, 2022.</w:t>
      </w:r>
    </w:p>
    <w:p w14:paraId="77230006" w14:textId="08D64E57" w:rsidR="00ED41C9" w:rsidRDefault="00ED41C9" w:rsidP="00ED41C9">
      <w:pPr>
        <w:pStyle w:val="CCComment"/>
        <w:ind w:left="1440" w:hanging="1440"/>
        <w:rPr>
          <w:rFonts w:asciiTheme="minorHAnsi" w:hAnsiTheme="minorHAnsi" w:cstheme="minorHAnsi"/>
          <w:b w:val="0"/>
          <w:i w:val="0"/>
          <w:color w:val="auto"/>
          <w:sz w:val="18"/>
          <w:szCs w:val="18"/>
        </w:rPr>
      </w:pPr>
      <w:r w:rsidRPr="005B553C">
        <w:rPr>
          <w:rFonts w:asciiTheme="minorHAnsi" w:hAnsiTheme="minorHAnsi" w:cstheme="minorHAnsi"/>
          <w:b w:val="0"/>
          <w:i w:val="0"/>
          <w:color w:val="auto"/>
          <w:sz w:val="18"/>
          <w:szCs w:val="18"/>
        </w:rPr>
        <w:t>01.01.2020</w:t>
      </w:r>
      <w:r w:rsidRPr="005B553C">
        <w:rPr>
          <w:rFonts w:asciiTheme="minorHAnsi" w:hAnsiTheme="minorHAnsi" w:cstheme="minorHAnsi"/>
          <w:b w:val="0"/>
          <w:i w:val="0"/>
          <w:color w:val="auto"/>
          <w:sz w:val="18"/>
          <w:szCs w:val="18"/>
        </w:rPr>
        <w:tab/>
      </w:r>
      <w:hyperlink r:id="rId99" w:history="1">
        <w:r w:rsidRPr="005B553C">
          <w:rPr>
            <w:rStyle w:val="Hyperlink"/>
            <w:rFonts w:asciiTheme="minorHAnsi" w:hAnsiTheme="minorHAnsi" w:cstheme="minorHAnsi"/>
            <w:b w:val="0"/>
            <w:i w:val="0"/>
            <w:sz w:val="18"/>
            <w:szCs w:val="18"/>
          </w:rPr>
          <w:t>Revisions to Prohibitions and Restrictions on Proprietary Trading and Certain Interests in, and Relationships With, Hedge Funds and Private Equity Funds -</w:t>
        </w:r>
      </w:hyperlink>
      <w:r w:rsidRPr="005B553C">
        <w:rPr>
          <w:rFonts w:asciiTheme="minorHAnsi" w:hAnsiTheme="minorHAnsi" w:cstheme="minorHAnsi"/>
          <w:b w:val="0"/>
          <w:i w:val="0"/>
          <w:color w:val="auto"/>
          <w:sz w:val="18"/>
          <w:szCs w:val="18"/>
        </w:rPr>
        <w:t xml:space="preserve"> SUMMARY:  The OCC, Board, FDIC, SEC, and CFTC are adopting amendments to the  regulations implementing section 13 of the Bank Holding Company Act.  Section 13 contains certain restrictions on the ability of a banking entity and nonbank financial company supervised by the Board to engage in proprietary trading and have certain interests in, or relationships </w:t>
      </w:r>
      <w:proofErr w:type="gramStart"/>
      <w:r w:rsidRPr="005B553C">
        <w:rPr>
          <w:rFonts w:asciiTheme="minorHAnsi" w:hAnsiTheme="minorHAnsi" w:cstheme="minorHAnsi"/>
          <w:b w:val="0"/>
          <w:i w:val="0"/>
          <w:color w:val="auto"/>
          <w:sz w:val="18"/>
          <w:szCs w:val="18"/>
        </w:rPr>
        <w:t>with,  a</w:t>
      </w:r>
      <w:proofErr w:type="gramEnd"/>
      <w:r w:rsidRPr="005B553C">
        <w:rPr>
          <w:rFonts w:asciiTheme="minorHAnsi" w:hAnsiTheme="minorHAnsi" w:cstheme="minorHAnsi"/>
          <w:b w:val="0"/>
          <w:i w:val="0"/>
          <w:color w:val="auto"/>
          <w:sz w:val="18"/>
          <w:szCs w:val="18"/>
        </w:rPr>
        <w:t xml:space="preserve"> hedge fund or private equity fund.  These final amendments are intended to provide banking entities with clarity about what activities are prohibited and to improve supervision and implementation of section entities with clarity about what activities are prohibited and to improve supervision and implementation of section 13.</w:t>
      </w:r>
      <w:r w:rsidRPr="005B553C">
        <w:t xml:space="preserve"> </w:t>
      </w:r>
      <w:r w:rsidRPr="005B553C">
        <w:rPr>
          <w:rFonts w:asciiTheme="minorHAnsi" w:hAnsiTheme="minorHAnsi" w:cstheme="minorHAnsi"/>
          <w:b w:val="0"/>
          <w:i w:val="0"/>
          <w:color w:val="auto"/>
          <w:sz w:val="18"/>
          <w:szCs w:val="18"/>
          <w:u w:val="single"/>
        </w:rPr>
        <w:t>Effective Date:  The effective date for this release is January 1, 2020. Compliance Date:  Banking entities must comply with the final amendments by January 1, 2021.  The 2013 rule will remain in effect until the compliance date, and a banking entity must continue to comply with the 2013 rule.  Alternatively, a banking entity may voluntarily comply, in whole or in part, with the amendments adopted in this release prior to the compliance date, subject to the agencies’ completion of necessary technological changes.</w:t>
      </w:r>
      <w:r w:rsidRPr="00ED41C9">
        <w:rPr>
          <w:rFonts w:asciiTheme="minorHAnsi" w:hAnsiTheme="minorHAnsi" w:cstheme="minorHAnsi"/>
          <w:b w:val="0"/>
          <w:i w:val="0"/>
          <w:color w:val="auto"/>
          <w:sz w:val="18"/>
          <w:szCs w:val="18"/>
        </w:rPr>
        <w:t xml:space="preserve"> </w:t>
      </w:r>
    </w:p>
    <w:bookmarkEnd w:id="66"/>
    <w:p w14:paraId="4096BE2F" w14:textId="250CCD0C" w:rsidR="00F61E96" w:rsidRDefault="00F61E96" w:rsidP="00ED41C9">
      <w:pPr>
        <w:pStyle w:val="CCComment"/>
        <w:ind w:left="1440" w:hanging="1440"/>
        <w:rPr>
          <w:rFonts w:asciiTheme="minorHAnsi" w:hAnsiTheme="minorHAnsi" w:cstheme="minorHAnsi"/>
          <w:b w:val="0"/>
          <w:i w:val="0"/>
          <w:color w:val="auto"/>
          <w:sz w:val="18"/>
          <w:szCs w:val="18"/>
        </w:rPr>
      </w:pPr>
      <w:r w:rsidRPr="00F61E96">
        <w:rPr>
          <w:rFonts w:asciiTheme="minorHAnsi" w:hAnsiTheme="minorHAnsi" w:cstheme="minorHAnsi"/>
          <w:b w:val="0"/>
          <w:i w:val="0"/>
          <w:color w:val="auto"/>
          <w:sz w:val="18"/>
          <w:szCs w:val="18"/>
        </w:rPr>
        <w:t>01.01.2020</w:t>
      </w:r>
      <w:r>
        <w:rPr>
          <w:rFonts w:asciiTheme="minorHAnsi" w:hAnsiTheme="minorHAnsi" w:cstheme="minorHAnsi"/>
          <w:b w:val="0"/>
          <w:i w:val="0"/>
          <w:color w:val="auto"/>
          <w:sz w:val="18"/>
          <w:szCs w:val="18"/>
        </w:rPr>
        <w:tab/>
      </w:r>
      <w:hyperlink r:id="rId100" w:history="1">
        <w:r w:rsidRPr="00F61E96">
          <w:rPr>
            <w:rStyle w:val="Hyperlink"/>
            <w:rFonts w:asciiTheme="minorHAnsi" w:hAnsiTheme="minorHAnsi" w:cstheme="minorHAnsi"/>
            <w:b w:val="0"/>
            <w:i w:val="0"/>
            <w:sz w:val="18"/>
            <w:szCs w:val="18"/>
          </w:rPr>
          <w:t>Regulatory Capital Rule: Capital Simplification for Qualifying Community Banking Organizations</w:t>
        </w:r>
      </w:hyperlink>
      <w:r>
        <w:rPr>
          <w:rFonts w:asciiTheme="minorHAnsi" w:hAnsiTheme="minorHAnsi" w:cstheme="minorHAnsi"/>
          <w:b w:val="0"/>
          <w:i w:val="0"/>
          <w:color w:val="auto"/>
          <w:sz w:val="18"/>
          <w:szCs w:val="18"/>
        </w:rPr>
        <w:t xml:space="preserve"> - </w:t>
      </w:r>
      <w:r w:rsidRPr="00F61E96">
        <w:rPr>
          <w:rFonts w:asciiTheme="minorHAnsi" w:hAnsiTheme="minorHAnsi" w:cstheme="minorHAnsi"/>
          <w:b w:val="0"/>
          <w:i w:val="0"/>
          <w:color w:val="auto"/>
          <w:sz w:val="18"/>
          <w:szCs w:val="18"/>
        </w:rPr>
        <w:t>SUMMARY: The Office of the Comptroller of the Currency, the Board of Governors of the</w:t>
      </w:r>
      <w:r>
        <w:rPr>
          <w:rFonts w:asciiTheme="minorHAnsi" w:hAnsiTheme="minorHAnsi" w:cstheme="minorHAnsi"/>
          <w:b w:val="0"/>
          <w:i w:val="0"/>
          <w:color w:val="auto"/>
          <w:sz w:val="18"/>
          <w:szCs w:val="18"/>
        </w:rPr>
        <w:t xml:space="preserve"> </w:t>
      </w:r>
      <w:r w:rsidRPr="00F61E96">
        <w:rPr>
          <w:rFonts w:asciiTheme="minorHAnsi" w:hAnsiTheme="minorHAnsi" w:cstheme="minorHAnsi"/>
          <w:b w:val="0"/>
          <w:i w:val="0"/>
          <w:color w:val="auto"/>
          <w:sz w:val="18"/>
          <w:szCs w:val="18"/>
        </w:rPr>
        <w:t>Federal Reserve System, and the Federal Deposit Insurance Corporation (collectively, the</w:t>
      </w:r>
      <w:r>
        <w:rPr>
          <w:rFonts w:asciiTheme="minorHAnsi" w:hAnsiTheme="minorHAnsi" w:cstheme="minorHAnsi"/>
          <w:b w:val="0"/>
          <w:i w:val="0"/>
          <w:color w:val="auto"/>
          <w:sz w:val="18"/>
          <w:szCs w:val="18"/>
        </w:rPr>
        <w:t xml:space="preserve"> </w:t>
      </w:r>
      <w:r w:rsidRPr="00F61E96">
        <w:rPr>
          <w:rFonts w:asciiTheme="minorHAnsi" w:hAnsiTheme="minorHAnsi" w:cstheme="minorHAnsi"/>
          <w:b w:val="0"/>
          <w:i w:val="0"/>
          <w:color w:val="auto"/>
          <w:sz w:val="18"/>
          <w:szCs w:val="18"/>
        </w:rPr>
        <w:t>agencies) are adopting a final rule that provides for a simple measure of capital adequacy for</w:t>
      </w:r>
      <w:r>
        <w:rPr>
          <w:rFonts w:asciiTheme="minorHAnsi" w:hAnsiTheme="minorHAnsi" w:cstheme="minorHAnsi"/>
          <w:b w:val="0"/>
          <w:i w:val="0"/>
          <w:color w:val="auto"/>
          <w:sz w:val="18"/>
          <w:szCs w:val="18"/>
        </w:rPr>
        <w:t xml:space="preserve"> </w:t>
      </w:r>
      <w:r w:rsidRPr="00F61E96">
        <w:rPr>
          <w:rFonts w:asciiTheme="minorHAnsi" w:hAnsiTheme="minorHAnsi" w:cstheme="minorHAnsi"/>
          <w:b w:val="0"/>
          <w:i w:val="0"/>
          <w:color w:val="auto"/>
          <w:sz w:val="18"/>
          <w:szCs w:val="18"/>
        </w:rPr>
        <w:t>certain community banking organizations, consistent with section 201 of the Economic Growth,</w:t>
      </w:r>
      <w:bookmarkStart w:id="67" w:name="_Toc504138801"/>
      <w:bookmarkStart w:id="68" w:name="_Hlk514920448"/>
      <w:r w:rsidRPr="00F61E96">
        <w:t xml:space="preserve"> </w:t>
      </w:r>
      <w:r w:rsidRPr="00F61E96">
        <w:rPr>
          <w:rFonts w:asciiTheme="minorHAnsi" w:hAnsiTheme="minorHAnsi" w:cstheme="minorHAnsi"/>
          <w:b w:val="0"/>
          <w:i w:val="0"/>
          <w:color w:val="auto"/>
          <w:sz w:val="18"/>
          <w:szCs w:val="18"/>
        </w:rPr>
        <w:t>Regulatory Relief, and Consumer Protection Act (final rule). Under the final rule, depository</w:t>
      </w:r>
      <w:r>
        <w:rPr>
          <w:rFonts w:asciiTheme="minorHAnsi" w:hAnsiTheme="minorHAnsi" w:cstheme="minorHAnsi"/>
          <w:b w:val="0"/>
          <w:i w:val="0"/>
          <w:color w:val="auto"/>
          <w:sz w:val="18"/>
          <w:szCs w:val="18"/>
        </w:rPr>
        <w:t xml:space="preserve"> </w:t>
      </w:r>
      <w:r w:rsidRPr="00F61E96">
        <w:rPr>
          <w:rFonts w:asciiTheme="minorHAnsi" w:hAnsiTheme="minorHAnsi" w:cstheme="minorHAnsi"/>
          <w:b w:val="0"/>
          <w:i w:val="0"/>
          <w:color w:val="auto"/>
          <w:sz w:val="18"/>
          <w:szCs w:val="18"/>
        </w:rPr>
        <w:t>institutions and depository institution holding companies that have less than $10 billion in total</w:t>
      </w:r>
      <w:r>
        <w:rPr>
          <w:rFonts w:asciiTheme="minorHAnsi" w:hAnsiTheme="minorHAnsi" w:cstheme="minorHAnsi"/>
          <w:b w:val="0"/>
          <w:i w:val="0"/>
          <w:color w:val="auto"/>
          <w:sz w:val="18"/>
          <w:szCs w:val="18"/>
        </w:rPr>
        <w:t xml:space="preserve"> </w:t>
      </w:r>
      <w:r w:rsidRPr="00F61E96">
        <w:rPr>
          <w:rFonts w:asciiTheme="minorHAnsi" w:hAnsiTheme="minorHAnsi" w:cstheme="minorHAnsi"/>
          <w:b w:val="0"/>
          <w:i w:val="0"/>
          <w:color w:val="auto"/>
          <w:sz w:val="18"/>
          <w:szCs w:val="18"/>
        </w:rPr>
        <w:t>consolidated assets and meet other qualifying criteria, including a leverage ratio (equal to tier 1</w:t>
      </w:r>
      <w:r>
        <w:rPr>
          <w:rFonts w:asciiTheme="minorHAnsi" w:hAnsiTheme="minorHAnsi" w:cstheme="minorHAnsi"/>
          <w:b w:val="0"/>
          <w:i w:val="0"/>
          <w:color w:val="auto"/>
          <w:sz w:val="18"/>
          <w:szCs w:val="18"/>
        </w:rPr>
        <w:t xml:space="preserve"> </w:t>
      </w:r>
      <w:r w:rsidRPr="00F61E96">
        <w:rPr>
          <w:rFonts w:asciiTheme="minorHAnsi" w:hAnsiTheme="minorHAnsi" w:cstheme="minorHAnsi"/>
          <w:b w:val="0"/>
          <w:i w:val="0"/>
          <w:color w:val="auto"/>
          <w:sz w:val="18"/>
          <w:szCs w:val="18"/>
        </w:rPr>
        <w:t>capital divided by average total consolidated assets) of greater than 9 percent, will be eligible to</w:t>
      </w:r>
      <w:r>
        <w:rPr>
          <w:rFonts w:asciiTheme="minorHAnsi" w:hAnsiTheme="minorHAnsi" w:cstheme="minorHAnsi"/>
          <w:b w:val="0"/>
          <w:i w:val="0"/>
          <w:color w:val="auto"/>
          <w:sz w:val="18"/>
          <w:szCs w:val="18"/>
        </w:rPr>
        <w:t xml:space="preserve"> </w:t>
      </w:r>
      <w:r w:rsidRPr="00F61E96">
        <w:rPr>
          <w:rFonts w:asciiTheme="minorHAnsi" w:hAnsiTheme="minorHAnsi" w:cstheme="minorHAnsi"/>
          <w:b w:val="0"/>
          <w:i w:val="0"/>
          <w:color w:val="auto"/>
          <w:sz w:val="18"/>
          <w:szCs w:val="18"/>
        </w:rPr>
        <w:t>opt into the community bank leverage ratio framework (qualifying community banking</w:t>
      </w:r>
      <w:r>
        <w:rPr>
          <w:rFonts w:asciiTheme="minorHAnsi" w:hAnsiTheme="minorHAnsi" w:cstheme="minorHAnsi"/>
          <w:b w:val="0"/>
          <w:i w:val="0"/>
          <w:color w:val="auto"/>
          <w:sz w:val="18"/>
          <w:szCs w:val="18"/>
        </w:rPr>
        <w:t xml:space="preserve"> </w:t>
      </w:r>
      <w:r w:rsidRPr="00F61E96">
        <w:rPr>
          <w:rFonts w:asciiTheme="minorHAnsi" w:hAnsiTheme="minorHAnsi" w:cstheme="minorHAnsi"/>
          <w:b w:val="0"/>
          <w:i w:val="0"/>
          <w:color w:val="auto"/>
          <w:sz w:val="18"/>
          <w:szCs w:val="18"/>
        </w:rPr>
        <w:t>organizations). Qualifying community banking organizations that elect to use the community</w:t>
      </w:r>
      <w:r>
        <w:rPr>
          <w:rFonts w:asciiTheme="minorHAnsi" w:hAnsiTheme="minorHAnsi" w:cstheme="minorHAnsi"/>
          <w:b w:val="0"/>
          <w:i w:val="0"/>
          <w:color w:val="auto"/>
          <w:sz w:val="18"/>
          <w:szCs w:val="18"/>
        </w:rPr>
        <w:t xml:space="preserve"> </w:t>
      </w:r>
      <w:r w:rsidRPr="00F61E96">
        <w:rPr>
          <w:rFonts w:asciiTheme="minorHAnsi" w:hAnsiTheme="minorHAnsi" w:cstheme="minorHAnsi"/>
          <w:b w:val="0"/>
          <w:i w:val="0"/>
          <w:color w:val="auto"/>
          <w:sz w:val="18"/>
          <w:szCs w:val="18"/>
        </w:rPr>
        <w:t>bank leverage ratio framework and that maintain a leverage ratio of greater than 9 percent will be</w:t>
      </w:r>
      <w:r>
        <w:rPr>
          <w:rFonts w:asciiTheme="minorHAnsi" w:hAnsiTheme="minorHAnsi" w:cstheme="minorHAnsi"/>
          <w:b w:val="0"/>
          <w:i w:val="0"/>
          <w:color w:val="auto"/>
          <w:sz w:val="18"/>
          <w:szCs w:val="18"/>
        </w:rPr>
        <w:t xml:space="preserve"> </w:t>
      </w:r>
      <w:r w:rsidRPr="00F61E96">
        <w:rPr>
          <w:rFonts w:asciiTheme="minorHAnsi" w:hAnsiTheme="minorHAnsi" w:cstheme="minorHAnsi"/>
          <w:b w:val="0"/>
          <w:i w:val="0"/>
          <w:color w:val="auto"/>
          <w:sz w:val="18"/>
          <w:szCs w:val="18"/>
        </w:rPr>
        <w:t>considered to have satisfied the generally applicable risk-based and leverage capital requirements</w:t>
      </w:r>
      <w:r>
        <w:rPr>
          <w:rFonts w:asciiTheme="minorHAnsi" w:hAnsiTheme="minorHAnsi" w:cstheme="minorHAnsi"/>
          <w:b w:val="0"/>
          <w:i w:val="0"/>
          <w:color w:val="auto"/>
          <w:sz w:val="18"/>
          <w:szCs w:val="18"/>
        </w:rPr>
        <w:t xml:space="preserve"> </w:t>
      </w:r>
      <w:r w:rsidRPr="00F61E96">
        <w:rPr>
          <w:rFonts w:asciiTheme="minorHAnsi" w:hAnsiTheme="minorHAnsi" w:cstheme="minorHAnsi"/>
          <w:b w:val="0"/>
          <w:i w:val="0"/>
          <w:color w:val="auto"/>
          <w:sz w:val="18"/>
          <w:szCs w:val="18"/>
        </w:rPr>
        <w:t>in the agencies’ capital rules (generally applicable rule) and, if applicable, will be considered to</w:t>
      </w:r>
      <w:r>
        <w:rPr>
          <w:rFonts w:asciiTheme="minorHAnsi" w:hAnsiTheme="minorHAnsi" w:cstheme="minorHAnsi"/>
          <w:b w:val="0"/>
          <w:i w:val="0"/>
          <w:color w:val="auto"/>
          <w:sz w:val="18"/>
          <w:szCs w:val="18"/>
        </w:rPr>
        <w:t xml:space="preserve"> </w:t>
      </w:r>
      <w:r w:rsidRPr="00F61E96">
        <w:rPr>
          <w:rFonts w:asciiTheme="minorHAnsi" w:hAnsiTheme="minorHAnsi" w:cstheme="minorHAnsi"/>
          <w:b w:val="0"/>
          <w:i w:val="0"/>
          <w:color w:val="auto"/>
          <w:sz w:val="18"/>
          <w:szCs w:val="18"/>
        </w:rPr>
        <w:t>have met the well-capitalized ratio requirements for purposes of section 38 of the Federal</w:t>
      </w:r>
      <w:r>
        <w:rPr>
          <w:rFonts w:asciiTheme="minorHAnsi" w:hAnsiTheme="minorHAnsi" w:cstheme="minorHAnsi"/>
          <w:b w:val="0"/>
          <w:i w:val="0"/>
          <w:color w:val="auto"/>
          <w:sz w:val="18"/>
          <w:szCs w:val="18"/>
        </w:rPr>
        <w:t xml:space="preserve"> </w:t>
      </w:r>
      <w:r w:rsidRPr="00F61E96">
        <w:rPr>
          <w:rFonts w:asciiTheme="minorHAnsi" w:hAnsiTheme="minorHAnsi" w:cstheme="minorHAnsi"/>
          <w:b w:val="0"/>
          <w:i w:val="0"/>
          <w:color w:val="auto"/>
          <w:sz w:val="18"/>
          <w:szCs w:val="18"/>
        </w:rPr>
        <w:t>Deposit Insurance Act. The final rule includes a two-quarter grace period during which a</w:t>
      </w:r>
      <w:r>
        <w:rPr>
          <w:rFonts w:asciiTheme="minorHAnsi" w:hAnsiTheme="minorHAnsi" w:cstheme="minorHAnsi"/>
          <w:b w:val="0"/>
          <w:i w:val="0"/>
          <w:color w:val="auto"/>
          <w:sz w:val="18"/>
          <w:szCs w:val="18"/>
        </w:rPr>
        <w:t xml:space="preserve"> </w:t>
      </w:r>
      <w:r w:rsidRPr="00F61E96">
        <w:rPr>
          <w:rFonts w:asciiTheme="minorHAnsi" w:hAnsiTheme="minorHAnsi" w:cstheme="minorHAnsi"/>
          <w:b w:val="0"/>
          <w:i w:val="0"/>
          <w:color w:val="auto"/>
          <w:sz w:val="18"/>
          <w:szCs w:val="18"/>
        </w:rPr>
        <w:t>qualifying community banking organization that temporarily fails to meet any of the qualifying</w:t>
      </w:r>
      <w:r>
        <w:rPr>
          <w:rFonts w:asciiTheme="minorHAnsi" w:hAnsiTheme="minorHAnsi" w:cstheme="minorHAnsi"/>
          <w:b w:val="0"/>
          <w:i w:val="0"/>
          <w:color w:val="auto"/>
          <w:sz w:val="18"/>
          <w:szCs w:val="18"/>
        </w:rPr>
        <w:t xml:space="preserve"> </w:t>
      </w:r>
      <w:r w:rsidRPr="00F61E96">
        <w:rPr>
          <w:rFonts w:asciiTheme="minorHAnsi" w:hAnsiTheme="minorHAnsi" w:cstheme="minorHAnsi"/>
          <w:b w:val="0"/>
          <w:i w:val="0"/>
          <w:color w:val="auto"/>
          <w:sz w:val="18"/>
          <w:szCs w:val="18"/>
        </w:rPr>
        <w:t>criteria, including the greater than 9 percent leverage ratio requirement, generally would still be</w:t>
      </w:r>
      <w:r>
        <w:rPr>
          <w:rFonts w:asciiTheme="minorHAnsi" w:hAnsiTheme="minorHAnsi" w:cstheme="minorHAnsi"/>
          <w:b w:val="0"/>
          <w:i w:val="0"/>
          <w:color w:val="auto"/>
          <w:sz w:val="18"/>
          <w:szCs w:val="18"/>
        </w:rPr>
        <w:t xml:space="preserve"> </w:t>
      </w:r>
      <w:r w:rsidRPr="00F61E96">
        <w:rPr>
          <w:rFonts w:asciiTheme="minorHAnsi" w:hAnsiTheme="minorHAnsi" w:cstheme="minorHAnsi"/>
          <w:b w:val="0"/>
          <w:i w:val="0"/>
          <w:color w:val="auto"/>
          <w:sz w:val="18"/>
          <w:szCs w:val="18"/>
        </w:rPr>
        <w:t>deemed well-capitalized so long as the banking organization maintains a leverage ratio greater</w:t>
      </w:r>
      <w:r>
        <w:rPr>
          <w:rFonts w:asciiTheme="minorHAnsi" w:hAnsiTheme="minorHAnsi" w:cstheme="minorHAnsi"/>
          <w:b w:val="0"/>
          <w:i w:val="0"/>
          <w:color w:val="auto"/>
          <w:sz w:val="18"/>
          <w:szCs w:val="18"/>
        </w:rPr>
        <w:t xml:space="preserve"> </w:t>
      </w:r>
      <w:r w:rsidRPr="00F61E96">
        <w:rPr>
          <w:rFonts w:asciiTheme="minorHAnsi" w:hAnsiTheme="minorHAnsi" w:cstheme="minorHAnsi"/>
          <w:b w:val="0"/>
          <w:i w:val="0"/>
          <w:color w:val="auto"/>
          <w:sz w:val="18"/>
          <w:szCs w:val="18"/>
        </w:rPr>
        <w:t>than 8 percent. At the end of the grace period, the banking organization must meet all qualifying</w:t>
      </w:r>
      <w:r>
        <w:rPr>
          <w:rFonts w:asciiTheme="minorHAnsi" w:hAnsiTheme="minorHAnsi" w:cstheme="minorHAnsi"/>
          <w:b w:val="0"/>
          <w:i w:val="0"/>
          <w:color w:val="auto"/>
          <w:sz w:val="18"/>
          <w:szCs w:val="18"/>
        </w:rPr>
        <w:t xml:space="preserve"> </w:t>
      </w:r>
      <w:r w:rsidRPr="00F61E96">
        <w:rPr>
          <w:rFonts w:asciiTheme="minorHAnsi" w:hAnsiTheme="minorHAnsi" w:cstheme="minorHAnsi"/>
          <w:b w:val="0"/>
          <w:i w:val="0"/>
          <w:color w:val="auto"/>
          <w:sz w:val="18"/>
          <w:szCs w:val="18"/>
        </w:rPr>
        <w:t>criteria to remain in the community bank leverage ratio framework or otherwise must comply</w:t>
      </w:r>
      <w:r>
        <w:rPr>
          <w:rFonts w:asciiTheme="minorHAnsi" w:hAnsiTheme="minorHAnsi" w:cstheme="minorHAnsi"/>
          <w:b w:val="0"/>
          <w:i w:val="0"/>
          <w:color w:val="auto"/>
          <w:sz w:val="18"/>
          <w:szCs w:val="18"/>
        </w:rPr>
        <w:t xml:space="preserve"> </w:t>
      </w:r>
      <w:r w:rsidRPr="00F61E96">
        <w:rPr>
          <w:rFonts w:asciiTheme="minorHAnsi" w:hAnsiTheme="minorHAnsi" w:cstheme="minorHAnsi"/>
          <w:b w:val="0"/>
          <w:i w:val="0"/>
          <w:color w:val="auto"/>
          <w:sz w:val="18"/>
          <w:szCs w:val="18"/>
        </w:rPr>
        <w:t>with and report under the generally applicable rule. Similarly, a banking organization that fails</w:t>
      </w:r>
      <w:r>
        <w:rPr>
          <w:rFonts w:asciiTheme="minorHAnsi" w:hAnsiTheme="minorHAnsi" w:cstheme="minorHAnsi"/>
          <w:b w:val="0"/>
          <w:i w:val="0"/>
          <w:color w:val="auto"/>
          <w:sz w:val="18"/>
          <w:szCs w:val="18"/>
        </w:rPr>
        <w:t xml:space="preserve"> </w:t>
      </w:r>
      <w:r w:rsidRPr="00F61E96">
        <w:rPr>
          <w:rFonts w:asciiTheme="minorHAnsi" w:hAnsiTheme="minorHAnsi" w:cstheme="minorHAnsi"/>
          <w:b w:val="0"/>
          <w:i w:val="0"/>
          <w:color w:val="auto"/>
          <w:sz w:val="18"/>
          <w:szCs w:val="18"/>
        </w:rPr>
        <w:t>to maintain a leverage ratio greater than 8 percent would not be permitted to use the grace period</w:t>
      </w:r>
      <w:r>
        <w:rPr>
          <w:rFonts w:asciiTheme="minorHAnsi" w:hAnsiTheme="minorHAnsi" w:cstheme="minorHAnsi"/>
          <w:b w:val="0"/>
          <w:i w:val="0"/>
          <w:color w:val="auto"/>
          <w:sz w:val="18"/>
          <w:szCs w:val="18"/>
        </w:rPr>
        <w:t xml:space="preserve"> </w:t>
      </w:r>
      <w:r w:rsidRPr="00F61E96">
        <w:rPr>
          <w:rFonts w:asciiTheme="minorHAnsi" w:hAnsiTheme="minorHAnsi" w:cstheme="minorHAnsi"/>
          <w:b w:val="0"/>
          <w:i w:val="0"/>
          <w:color w:val="auto"/>
          <w:sz w:val="18"/>
          <w:szCs w:val="18"/>
        </w:rPr>
        <w:t>and must comply with the capital rule’s generally applicable requirements and file the</w:t>
      </w:r>
      <w:r>
        <w:rPr>
          <w:rFonts w:asciiTheme="minorHAnsi" w:hAnsiTheme="minorHAnsi" w:cstheme="minorHAnsi"/>
          <w:b w:val="0"/>
          <w:i w:val="0"/>
          <w:color w:val="auto"/>
          <w:sz w:val="18"/>
          <w:szCs w:val="18"/>
        </w:rPr>
        <w:t xml:space="preserve"> </w:t>
      </w:r>
      <w:r w:rsidRPr="00F61E96">
        <w:rPr>
          <w:rFonts w:asciiTheme="minorHAnsi" w:hAnsiTheme="minorHAnsi" w:cstheme="minorHAnsi"/>
          <w:b w:val="0"/>
          <w:i w:val="0"/>
          <w:color w:val="auto"/>
          <w:sz w:val="18"/>
          <w:szCs w:val="18"/>
        </w:rPr>
        <w:t xml:space="preserve">appropriate regulatory reports. </w:t>
      </w:r>
      <w:r w:rsidR="00576FC5" w:rsidRPr="00D1781B">
        <w:rPr>
          <w:rFonts w:asciiTheme="minorHAnsi" w:hAnsiTheme="minorHAnsi" w:cstheme="minorHAnsi"/>
          <w:b w:val="0"/>
          <w:i w:val="0"/>
          <w:color w:val="auto"/>
          <w:sz w:val="18"/>
          <w:szCs w:val="18"/>
          <w:u w:val="single"/>
        </w:rPr>
        <w:t xml:space="preserve">This rule is effective on </w:t>
      </w:r>
      <w:r w:rsidR="00576FC5">
        <w:rPr>
          <w:rFonts w:asciiTheme="minorHAnsi" w:hAnsiTheme="minorHAnsi" w:cstheme="minorHAnsi"/>
          <w:b w:val="0"/>
          <w:i w:val="0"/>
          <w:color w:val="auto"/>
          <w:sz w:val="18"/>
          <w:szCs w:val="18"/>
          <w:u w:val="single"/>
        </w:rPr>
        <w:t>January</w:t>
      </w:r>
      <w:r w:rsidR="00576FC5" w:rsidRPr="00D1781B">
        <w:rPr>
          <w:rFonts w:asciiTheme="minorHAnsi" w:hAnsiTheme="minorHAnsi" w:cstheme="minorHAnsi"/>
          <w:b w:val="0"/>
          <w:i w:val="0"/>
          <w:color w:val="auto"/>
          <w:sz w:val="18"/>
          <w:szCs w:val="18"/>
          <w:u w:val="single"/>
        </w:rPr>
        <w:t xml:space="preserve"> </w:t>
      </w:r>
      <w:r w:rsidR="00576FC5">
        <w:rPr>
          <w:rFonts w:asciiTheme="minorHAnsi" w:hAnsiTheme="minorHAnsi" w:cstheme="minorHAnsi"/>
          <w:b w:val="0"/>
          <w:i w:val="0"/>
          <w:color w:val="auto"/>
          <w:sz w:val="18"/>
          <w:szCs w:val="18"/>
          <w:u w:val="single"/>
        </w:rPr>
        <w:t>01</w:t>
      </w:r>
      <w:r w:rsidR="00576FC5" w:rsidRPr="00D1781B">
        <w:rPr>
          <w:rFonts w:asciiTheme="minorHAnsi" w:hAnsiTheme="minorHAnsi" w:cstheme="minorHAnsi"/>
          <w:b w:val="0"/>
          <w:i w:val="0"/>
          <w:color w:val="auto"/>
          <w:sz w:val="18"/>
          <w:szCs w:val="18"/>
          <w:u w:val="single"/>
        </w:rPr>
        <w:t xml:space="preserve">, </w:t>
      </w:r>
      <w:r w:rsidR="00576FC5">
        <w:rPr>
          <w:rFonts w:asciiTheme="minorHAnsi" w:hAnsiTheme="minorHAnsi" w:cstheme="minorHAnsi"/>
          <w:b w:val="0"/>
          <w:i w:val="0"/>
          <w:color w:val="auto"/>
          <w:sz w:val="18"/>
          <w:szCs w:val="18"/>
          <w:u w:val="single"/>
        </w:rPr>
        <w:t>2020</w:t>
      </w:r>
      <w:r w:rsidR="00576FC5" w:rsidRPr="00D1781B">
        <w:rPr>
          <w:rFonts w:asciiTheme="minorHAnsi" w:hAnsiTheme="minorHAnsi" w:cstheme="minorHAnsi"/>
          <w:b w:val="0"/>
          <w:i w:val="0"/>
          <w:color w:val="auto"/>
          <w:sz w:val="18"/>
          <w:szCs w:val="18"/>
          <w:u w:val="single"/>
        </w:rPr>
        <w:t>.</w:t>
      </w:r>
    </w:p>
    <w:p w14:paraId="61698C03" w14:textId="3B8BE589" w:rsidR="00063F3D" w:rsidRDefault="00063F3D" w:rsidP="00063F3D">
      <w:pPr>
        <w:pStyle w:val="CCTOCHeading"/>
        <w:spacing w:line="259" w:lineRule="auto"/>
        <w:rPr>
          <w:rFonts w:asciiTheme="minorHAnsi" w:hAnsiTheme="minorHAnsi" w:cstheme="minorHAnsi"/>
        </w:rPr>
      </w:pPr>
      <w:bookmarkStart w:id="69" w:name="_Toc504138802"/>
      <w:bookmarkStart w:id="70" w:name="_Toc22799384"/>
      <w:bookmarkStart w:id="71" w:name="_Hlk514920458"/>
      <w:bookmarkEnd w:id="67"/>
      <w:bookmarkEnd w:id="68"/>
      <w:r w:rsidRPr="00436AD8">
        <w:rPr>
          <w:rFonts w:asciiTheme="minorHAnsi" w:hAnsiTheme="minorHAnsi" w:cstheme="minorHAnsi"/>
        </w:rPr>
        <w:t>Common words, phrases and acronyms</w:t>
      </w:r>
      <w:bookmarkEnd w:id="69"/>
      <w:bookmarkEnd w:id="70"/>
    </w:p>
    <w:bookmarkEnd w:id="71"/>
    <w:p w14:paraId="292D3AB0" w14:textId="77777777" w:rsidR="00063F3D" w:rsidRPr="00436AD8" w:rsidRDefault="00063F3D" w:rsidP="00063F3D">
      <w:pPr>
        <w:pStyle w:val="CCTOCHeading"/>
        <w:spacing w:line="259" w:lineRule="auto"/>
        <w:rPr>
          <w:rFonts w:asciiTheme="minorHAnsi" w:hAnsiTheme="minorHAnsi" w:cstheme="minorHAnsi"/>
        </w:rPr>
        <w:sectPr w:rsidR="00063F3D" w:rsidRPr="00436AD8" w:rsidSect="00E36FF6">
          <w:footerReference w:type="default" r:id="rId101"/>
          <w:footerReference w:type="first" r:id="rId102"/>
          <w:type w:val="continuous"/>
          <w:pgSz w:w="12240" w:h="15840" w:code="1"/>
          <w:pgMar w:top="720" w:right="720" w:bottom="864" w:left="720" w:header="720" w:footer="432" w:gutter="0"/>
          <w:cols w:space="720"/>
          <w:titlePg/>
          <w:docGrid w:linePitch="360"/>
        </w:sect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29" w:type="dxa"/>
          <w:bottom w:w="29" w:type="dxa"/>
          <w:right w:w="29" w:type="dxa"/>
        </w:tblCellMar>
        <w:tblLook w:val="04A0" w:firstRow="1" w:lastRow="0" w:firstColumn="1" w:lastColumn="0" w:noHBand="0" w:noVBand="1"/>
      </w:tblPr>
      <w:tblGrid>
        <w:gridCol w:w="1411"/>
        <w:gridCol w:w="3619"/>
      </w:tblGrid>
      <w:tr w:rsidR="00063F3D" w:rsidRPr="00436AD8" w14:paraId="5DD9384D" w14:textId="77777777" w:rsidTr="00191EED">
        <w:trPr>
          <w:cantSplit/>
          <w:trHeight w:val="144"/>
          <w:tblCellSpacing w:w="0" w:type="dxa"/>
        </w:trPr>
        <w:tc>
          <w:tcPr>
            <w:tcW w:w="0" w:type="auto"/>
            <w:vAlign w:val="center"/>
            <w:hideMark/>
          </w:tcPr>
          <w:p w14:paraId="4731457C" w14:textId="77777777" w:rsidR="00063F3D" w:rsidRPr="00436AD8" w:rsidRDefault="00063F3D" w:rsidP="00191EED">
            <w:pPr>
              <w:rPr>
                <w:rFonts w:cstheme="minorHAnsi"/>
              </w:rPr>
            </w:pPr>
            <w:r w:rsidRPr="00436AD8">
              <w:rPr>
                <w:rFonts w:cstheme="minorHAnsi"/>
              </w:rPr>
              <w:t>APOR</w:t>
            </w:r>
          </w:p>
        </w:tc>
        <w:tc>
          <w:tcPr>
            <w:tcW w:w="0" w:type="auto"/>
            <w:vAlign w:val="center"/>
            <w:hideMark/>
          </w:tcPr>
          <w:p w14:paraId="48436DD4" w14:textId="77777777" w:rsidR="00063F3D" w:rsidRPr="00436AD8" w:rsidRDefault="00063F3D" w:rsidP="00191EED">
            <w:pPr>
              <w:rPr>
                <w:rFonts w:cstheme="minorHAnsi"/>
              </w:rPr>
            </w:pPr>
            <w:r>
              <w:rPr>
                <w:rFonts w:cstheme="minorHAnsi"/>
              </w:rPr>
              <w:t>“</w:t>
            </w:r>
            <w:r w:rsidRPr="00436AD8">
              <w:rPr>
                <w:rFonts w:cstheme="minorHAnsi"/>
              </w:rPr>
              <w:t>Average Prime Offer Rates</w:t>
            </w:r>
            <w:r>
              <w:rPr>
                <w:rFonts w:cstheme="minorHAnsi"/>
              </w:rPr>
              <w:t>”</w:t>
            </w:r>
            <w:r w:rsidRPr="00436AD8">
              <w:rPr>
                <w:rFonts w:cstheme="minorHAnsi"/>
              </w:rPr>
              <w:t xml:space="preserve"> are derived from average interest rates, points, and other pricing terms offered by a representative sample of creditors for mortgage transactions that have low-risk pricing characteristics.</w:t>
            </w:r>
          </w:p>
        </w:tc>
      </w:tr>
      <w:tr w:rsidR="00063F3D" w:rsidRPr="00436AD8" w14:paraId="40594C2B" w14:textId="77777777" w:rsidTr="00191EED">
        <w:trPr>
          <w:cantSplit/>
          <w:trHeight w:val="144"/>
          <w:tblCellSpacing w:w="0" w:type="dxa"/>
        </w:trPr>
        <w:tc>
          <w:tcPr>
            <w:tcW w:w="0" w:type="auto"/>
            <w:vAlign w:val="center"/>
            <w:hideMark/>
          </w:tcPr>
          <w:p w14:paraId="7151DD74" w14:textId="69E37F10" w:rsidR="00063F3D" w:rsidRPr="00436AD8" w:rsidRDefault="006E478C" w:rsidP="00191EED">
            <w:pPr>
              <w:rPr>
                <w:rFonts w:cstheme="minorHAnsi"/>
              </w:rPr>
            </w:pPr>
            <w:r>
              <w:rPr>
                <w:rFonts w:cstheme="minorHAnsi"/>
              </w:rPr>
              <w:t>CFPB</w:t>
            </w:r>
          </w:p>
        </w:tc>
        <w:tc>
          <w:tcPr>
            <w:tcW w:w="0" w:type="auto"/>
            <w:vAlign w:val="center"/>
            <w:hideMark/>
          </w:tcPr>
          <w:p w14:paraId="6CA9922A" w14:textId="37DD3308" w:rsidR="00063F3D" w:rsidRPr="00436AD8" w:rsidRDefault="00E5154D" w:rsidP="00191EED">
            <w:pPr>
              <w:rPr>
                <w:rFonts w:cstheme="minorHAnsi"/>
              </w:rPr>
            </w:pPr>
            <w:hyperlink r:id="rId103" w:history="1">
              <w:r w:rsidR="003B513F" w:rsidRPr="003B513F">
                <w:rPr>
                  <w:rStyle w:val="Hyperlink"/>
                </w:rPr>
                <w:t>Consumer Financial Protection</w:t>
              </w:r>
            </w:hyperlink>
            <w:r w:rsidR="006E478C">
              <w:rPr>
                <w:rStyle w:val="Hyperlink"/>
              </w:rPr>
              <w:t xml:space="preserve"> Bureau</w:t>
            </w:r>
          </w:p>
        </w:tc>
      </w:tr>
      <w:tr w:rsidR="003B513F" w:rsidRPr="00436AD8" w14:paraId="3041A7A7" w14:textId="77777777" w:rsidTr="00485059">
        <w:trPr>
          <w:cantSplit/>
          <w:trHeight w:val="144"/>
          <w:tblCellSpacing w:w="0" w:type="dxa"/>
        </w:trPr>
        <w:tc>
          <w:tcPr>
            <w:tcW w:w="0" w:type="auto"/>
            <w:hideMark/>
          </w:tcPr>
          <w:p w14:paraId="3CCBF1A7" w14:textId="65B12155" w:rsidR="003B513F" w:rsidRPr="00436AD8" w:rsidRDefault="003B513F" w:rsidP="003B513F">
            <w:pPr>
              <w:rPr>
                <w:rFonts w:cstheme="minorHAnsi"/>
              </w:rPr>
            </w:pPr>
            <w:r w:rsidRPr="00413272">
              <w:t>CARD Act</w:t>
            </w:r>
          </w:p>
        </w:tc>
        <w:tc>
          <w:tcPr>
            <w:tcW w:w="0" w:type="auto"/>
            <w:hideMark/>
          </w:tcPr>
          <w:p w14:paraId="770259F3" w14:textId="543B071F" w:rsidR="003B513F" w:rsidRPr="00436AD8" w:rsidRDefault="00E5154D" w:rsidP="003B513F">
            <w:pPr>
              <w:rPr>
                <w:rFonts w:cstheme="minorHAnsi"/>
              </w:rPr>
            </w:pPr>
            <w:hyperlink r:id="rId104" w:history="1">
              <w:r w:rsidR="003B513F" w:rsidRPr="003B513F">
                <w:rPr>
                  <w:rStyle w:val="Hyperlink"/>
                  <w:rFonts w:cstheme="minorBidi"/>
                </w:rPr>
                <w:t>Credit Card Accountability Responsibility and Disclosure Act of 2009</w:t>
              </w:r>
            </w:hyperlink>
          </w:p>
        </w:tc>
      </w:tr>
      <w:tr w:rsidR="00063F3D" w:rsidRPr="00436AD8" w14:paraId="10E9DA6B" w14:textId="77777777" w:rsidTr="00191EED">
        <w:trPr>
          <w:cantSplit/>
          <w:trHeight w:val="144"/>
          <w:tblCellSpacing w:w="0" w:type="dxa"/>
        </w:trPr>
        <w:tc>
          <w:tcPr>
            <w:tcW w:w="0" w:type="auto"/>
            <w:vAlign w:val="center"/>
            <w:hideMark/>
          </w:tcPr>
          <w:p w14:paraId="61C98C8E" w14:textId="77777777" w:rsidR="00063F3D" w:rsidRPr="00436AD8" w:rsidRDefault="00063F3D" w:rsidP="00191EED">
            <w:pPr>
              <w:rPr>
                <w:rFonts w:cstheme="minorHAnsi"/>
              </w:rPr>
            </w:pPr>
            <w:r w:rsidRPr="00436AD8">
              <w:rPr>
                <w:rFonts w:cstheme="minorHAnsi"/>
              </w:rPr>
              <w:t>CFR</w:t>
            </w:r>
          </w:p>
        </w:tc>
        <w:tc>
          <w:tcPr>
            <w:tcW w:w="0" w:type="auto"/>
            <w:vAlign w:val="center"/>
            <w:hideMark/>
          </w:tcPr>
          <w:p w14:paraId="0C220A17" w14:textId="77777777" w:rsidR="00063F3D" w:rsidRPr="00436AD8" w:rsidRDefault="00E5154D" w:rsidP="00191EED">
            <w:pPr>
              <w:rPr>
                <w:rFonts w:cstheme="minorHAnsi"/>
              </w:rPr>
            </w:pPr>
            <w:hyperlink r:id="rId105" w:history="1">
              <w:r w:rsidR="00063F3D" w:rsidRPr="00436AD8">
                <w:rPr>
                  <w:rStyle w:val="Hyperlink"/>
                  <w:rFonts w:cstheme="minorHAnsi"/>
                </w:rPr>
                <w:t>Code of Federal Regulations</w:t>
              </w:r>
            </w:hyperlink>
            <w:r w:rsidR="00063F3D" w:rsidRPr="00436AD8">
              <w:rPr>
                <w:rFonts w:cstheme="minorHAnsi"/>
              </w:rPr>
              <w:t>. Codification of rules and regulations of federal agencies.</w:t>
            </w:r>
          </w:p>
        </w:tc>
      </w:tr>
      <w:tr w:rsidR="00063F3D" w:rsidRPr="00436AD8" w14:paraId="31593D1F" w14:textId="77777777" w:rsidTr="00191EED">
        <w:trPr>
          <w:cantSplit/>
          <w:trHeight w:val="144"/>
          <w:tblCellSpacing w:w="0" w:type="dxa"/>
        </w:trPr>
        <w:tc>
          <w:tcPr>
            <w:tcW w:w="0" w:type="auto"/>
            <w:vAlign w:val="center"/>
            <w:hideMark/>
          </w:tcPr>
          <w:p w14:paraId="766CE7FA" w14:textId="77777777" w:rsidR="00063F3D" w:rsidRPr="00436AD8" w:rsidRDefault="00063F3D" w:rsidP="00191EED">
            <w:pPr>
              <w:rPr>
                <w:rFonts w:cstheme="minorHAnsi"/>
              </w:rPr>
            </w:pPr>
            <w:r w:rsidRPr="00436AD8">
              <w:rPr>
                <w:rFonts w:cstheme="minorHAnsi"/>
              </w:rPr>
              <w:t>CRA</w:t>
            </w:r>
          </w:p>
        </w:tc>
        <w:tc>
          <w:tcPr>
            <w:tcW w:w="0" w:type="auto"/>
            <w:vAlign w:val="center"/>
            <w:hideMark/>
          </w:tcPr>
          <w:p w14:paraId="4B0C48FF" w14:textId="77777777" w:rsidR="00063F3D" w:rsidRPr="00436AD8" w:rsidRDefault="00E5154D" w:rsidP="00191EED">
            <w:pPr>
              <w:rPr>
                <w:rFonts w:cstheme="minorHAnsi"/>
              </w:rPr>
            </w:pPr>
            <w:hyperlink r:id="rId106" w:history="1">
              <w:r w:rsidR="00063F3D" w:rsidRPr="00436AD8">
                <w:rPr>
                  <w:rStyle w:val="Hyperlink"/>
                  <w:rFonts w:cstheme="minorHAnsi"/>
                </w:rPr>
                <w:t>Community Reinvestment Act</w:t>
              </w:r>
            </w:hyperlink>
            <w:r w:rsidR="00063F3D" w:rsidRPr="00436AD8">
              <w:rPr>
                <w:rFonts w:cstheme="minorHAnsi"/>
              </w:rPr>
              <w:t>. This Act is designed to encourage loans in all segments of communities.</w:t>
            </w:r>
          </w:p>
        </w:tc>
      </w:tr>
      <w:tr w:rsidR="00063F3D" w:rsidRPr="00436AD8" w14:paraId="1214128F" w14:textId="77777777" w:rsidTr="00191EED">
        <w:trPr>
          <w:cantSplit/>
          <w:trHeight w:val="144"/>
          <w:tblCellSpacing w:w="0" w:type="dxa"/>
        </w:trPr>
        <w:tc>
          <w:tcPr>
            <w:tcW w:w="0" w:type="auto"/>
            <w:vAlign w:val="center"/>
            <w:hideMark/>
          </w:tcPr>
          <w:p w14:paraId="478AA9F9" w14:textId="77777777" w:rsidR="00063F3D" w:rsidRPr="00436AD8" w:rsidRDefault="00063F3D" w:rsidP="00191EED">
            <w:pPr>
              <w:rPr>
                <w:rFonts w:cstheme="minorHAnsi"/>
              </w:rPr>
            </w:pPr>
            <w:r w:rsidRPr="00436AD8">
              <w:rPr>
                <w:rFonts w:cstheme="minorHAnsi"/>
              </w:rPr>
              <w:t>CRE</w:t>
            </w:r>
          </w:p>
        </w:tc>
        <w:tc>
          <w:tcPr>
            <w:tcW w:w="0" w:type="auto"/>
            <w:vAlign w:val="center"/>
            <w:hideMark/>
          </w:tcPr>
          <w:p w14:paraId="2DA79BE3" w14:textId="77777777" w:rsidR="00063F3D" w:rsidRPr="00436AD8" w:rsidRDefault="00063F3D" w:rsidP="00191EED">
            <w:pPr>
              <w:rPr>
                <w:rFonts w:cstheme="minorHAnsi"/>
              </w:rPr>
            </w:pPr>
            <w:r w:rsidRPr="00436AD8">
              <w:rPr>
                <w:rFonts w:cstheme="minorHAnsi"/>
              </w:rPr>
              <w:t>Commercial Real Estate</w:t>
            </w:r>
          </w:p>
        </w:tc>
      </w:tr>
      <w:tr w:rsidR="00063F3D" w:rsidRPr="00436AD8" w14:paraId="59D535BC" w14:textId="77777777" w:rsidTr="00191EED">
        <w:trPr>
          <w:cantSplit/>
          <w:trHeight w:val="144"/>
          <w:tblCellSpacing w:w="0" w:type="dxa"/>
        </w:trPr>
        <w:tc>
          <w:tcPr>
            <w:tcW w:w="0" w:type="auto"/>
            <w:vAlign w:val="center"/>
            <w:hideMark/>
          </w:tcPr>
          <w:p w14:paraId="2718A92E" w14:textId="77777777" w:rsidR="00063F3D" w:rsidRPr="00436AD8" w:rsidRDefault="00063F3D" w:rsidP="00191EED">
            <w:pPr>
              <w:rPr>
                <w:rFonts w:cstheme="minorHAnsi"/>
              </w:rPr>
            </w:pPr>
            <w:r w:rsidRPr="00436AD8">
              <w:rPr>
                <w:rFonts w:cstheme="minorHAnsi"/>
              </w:rPr>
              <w:t>CSBS</w:t>
            </w:r>
          </w:p>
        </w:tc>
        <w:tc>
          <w:tcPr>
            <w:tcW w:w="0" w:type="auto"/>
            <w:vAlign w:val="center"/>
            <w:hideMark/>
          </w:tcPr>
          <w:p w14:paraId="781F0A25" w14:textId="77777777" w:rsidR="00063F3D" w:rsidRPr="00436AD8" w:rsidRDefault="00E5154D" w:rsidP="00191EED">
            <w:pPr>
              <w:rPr>
                <w:rFonts w:cstheme="minorHAnsi"/>
              </w:rPr>
            </w:pPr>
            <w:hyperlink r:id="rId107" w:history="1">
              <w:r w:rsidR="00063F3D" w:rsidRPr="00436AD8">
                <w:rPr>
                  <w:rStyle w:val="Hyperlink"/>
                  <w:rFonts w:cstheme="minorHAnsi"/>
                </w:rPr>
                <w:t>Conference of State Bank Supervisors</w:t>
              </w:r>
            </w:hyperlink>
          </w:p>
        </w:tc>
      </w:tr>
      <w:tr w:rsidR="00063F3D" w:rsidRPr="00436AD8" w14:paraId="5077479D" w14:textId="77777777" w:rsidTr="00191EED">
        <w:trPr>
          <w:cantSplit/>
          <w:trHeight w:val="144"/>
          <w:tblCellSpacing w:w="0" w:type="dxa"/>
        </w:trPr>
        <w:tc>
          <w:tcPr>
            <w:tcW w:w="0" w:type="auto"/>
            <w:vAlign w:val="center"/>
            <w:hideMark/>
          </w:tcPr>
          <w:p w14:paraId="637B56B8" w14:textId="77777777" w:rsidR="00063F3D" w:rsidRPr="00436AD8" w:rsidRDefault="00063F3D" w:rsidP="00191EED">
            <w:pPr>
              <w:rPr>
                <w:rFonts w:cstheme="minorHAnsi"/>
              </w:rPr>
            </w:pPr>
            <w:r w:rsidRPr="00436AD8">
              <w:rPr>
                <w:rFonts w:cstheme="minorHAnsi"/>
              </w:rPr>
              <w:t>CTR</w:t>
            </w:r>
          </w:p>
        </w:tc>
        <w:tc>
          <w:tcPr>
            <w:tcW w:w="0" w:type="auto"/>
            <w:vAlign w:val="center"/>
            <w:hideMark/>
          </w:tcPr>
          <w:p w14:paraId="0DBAC07E" w14:textId="77777777" w:rsidR="00063F3D" w:rsidRPr="00436AD8" w:rsidRDefault="00E5154D" w:rsidP="00191EED">
            <w:pPr>
              <w:rPr>
                <w:rFonts w:cstheme="minorHAnsi"/>
              </w:rPr>
            </w:pPr>
            <w:hyperlink r:id="rId108" w:history="1">
              <w:r w:rsidR="00063F3D" w:rsidRPr="00436AD8">
                <w:rPr>
                  <w:rStyle w:val="Hyperlink"/>
                  <w:rFonts w:cstheme="minorHAnsi"/>
                </w:rPr>
                <w:t>Currency Transaction Report</w:t>
              </w:r>
            </w:hyperlink>
            <w:r w:rsidR="00063F3D" w:rsidRPr="00436AD8">
              <w:rPr>
                <w:rFonts w:cstheme="minorHAnsi"/>
              </w:rPr>
              <w:t>. Filed for each deposit, withdrawal, exchange of currency that involves a transaction in currency of more than $10,000.</w:t>
            </w:r>
          </w:p>
        </w:tc>
      </w:tr>
      <w:tr w:rsidR="00063F3D" w:rsidRPr="00436AD8" w14:paraId="0E9AE0F3" w14:textId="77777777" w:rsidTr="00191EED">
        <w:trPr>
          <w:cantSplit/>
          <w:trHeight w:val="144"/>
          <w:tblCellSpacing w:w="0" w:type="dxa"/>
        </w:trPr>
        <w:tc>
          <w:tcPr>
            <w:tcW w:w="0" w:type="auto"/>
            <w:vAlign w:val="center"/>
            <w:hideMark/>
          </w:tcPr>
          <w:p w14:paraId="0B032176" w14:textId="77777777" w:rsidR="00063F3D" w:rsidRPr="00436AD8" w:rsidRDefault="00063F3D" w:rsidP="00191EED">
            <w:pPr>
              <w:rPr>
                <w:rFonts w:cstheme="minorHAnsi"/>
              </w:rPr>
            </w:pPr>
            <w:r w:rsidRPr="00436AD8">
              <w:rPr>
                <w:rFonts w:cstheme="minorHAnsi"/>
              </w:rPr>
              <w:t>Dodd-Frank Act</w:t>
            </w:r>
          </w:p>
        </w:tc>
        <w:tc>
          <w:tcPr>
            <w:tcW w:w="0" w:type="auto"/>
            <w:vAlign w:val="center"/>
            <w:hideMark/>
          </w:tcPr>
          <w:p w14:paraId="12277407" w14:textId="77777777" w:rsidR="00063F3D" w:rsidRPr="00436AD8" w:rsidRDefault="00E5154D" w:rsidP="00191EED">
            <w:pPr>
              <w:rPr>
                <w:rFonts w:cstheme="minorHAnsi"/>
              </w:rPr>
            </w:pPr>
            <w:hyperlink r:id="rId109" w:history="1">
              <w:r w:rsidR="00063F3D" w:rsidRPr="00436AD8">
                <w:rPr>
                  <w:rStyle w:val="Hyperlink"/>
                  <w:rFonts w:cstheme="minorHAnsi"/>
                </w:rPr>
                <w:t>The Dodd–Frank Wall Street Reform and Consumer Protection Act</w:t>
              </w:r>
            </w:hyperlink>
          </w:p>
        </w:tc>
      </w:tr>
      <w:tr w:rsidR="00063F3D" w:rsidRPr="00436AD8" w14:paraId="463DBF62" w14:textId="77777777" w:rsidTr="00191EED">
        <w:trPr>
          <w:cantSplit/>
          <w:trHeight w:val="144"/>
          <w:tblCellSpacing w:w="0" w:type="dxa"/>
        </w:trPr>
        <w:tc>
          <w:tcPr>
            <w:tcW w:w="0" w:type="auto"/>
            <w:vAlign w:val="center"/>
            <w:hideMark/>
          </w:tcPr>
          <w:p w14:paraId="66B48ACA" w14:textId="77777777" w:rsidR="00063F3D" w:rsidRPr="00436AD8" w:rsidRDefault="00063F3D" w:rsidP="00191EED">
            <w:pPr>
              <w:rPr>
                <w:rFonts w:cstheme="minorHAnsi"/>
              </w:rPr>
            </w:pPr>
            <w:r w:rsidRPr="00436AD8">
              <w:rPr>
                <w:rFonts w:cstheme="minorHAnsi"/>
              </w:rPr>
              <w:t>DOJ</w:t>
            </w:r>
          </w:p>
        </w:tc>
        <w:tc>
          <w:tcPr>
            <w:tcW w:w="0" w:type="auto"/>
            <w:vAlign w:val="center"/>
            <w:hideMark/>
          </w:tcPr>
          <w:p w14:paraId="373D5049" w14:textId="77777777" w:rsidR="00063F3D" w:rsidRPr="00436AD8" w:rsidRDefault="00E5154D" w:rsidP="00191EED">
            <w:pPr>
              <w:rPr>
                <w:rFonts w:cstheme="minorHAnsi"/>
              </w:rPr>
            </w:pPr>
            <w:hyperlink r:id="rId110" w:history="1">
              <w:r w:rsidR="00063F3D" w:rsidRPr="00436AD8">
                <w:rPr>
                  <w:rStyle w:val="Hyperlink"/>
                  <w:rFonts w:cstheme="minorHAnsi"/>
                </w:rPr>
                <w:t>Department of Justice</w:t>
              </w:r>
            </w:hyperlink>
          </w:p>
        </w:tc>
      </w:tr>
      <w:tr w:rsidR="00063F3D" w:rsidRPr="00436AD8" w14:paraId="2E7D9667" w14:textId="77777777" w:rsidTr="00191EED">
        <w:trPr>
          <w:cantSplit/>
          <w:trHeight w:val="144"/>
          <w:tblCellSpacing w:w="0" w:type="dxa"/>
        </w:trPr>
        <w:tc>
          <w:tcPr>
            <w:tcW w:w="0" w:type="auto"/>
            <w:vAlign w:val="center"/>
            <w:hideMark/>
          </w:tcPr>
          <w:p w14:paraId="49E3FBA7" w14:textId="77777777" w:rsidR="00063F3D" w:rsidRPr="00436AD8" w:rsidRDefault="00063F3D" w:rsidP="00191EED">
            <w:pPr>
              <w:rPr>
                <w:rFonts w:cstheme="minorHAnsi"/>
              </w:rPr>
            </w:pPr>
            <w:r w:rsidRPr="00436AD8">
              <w:rPr>
                <w:rFonts w:cstheme="minorHAnsi"/>
              </w:rPr>
              <w:t xml:space="preserve">FDIC </w:t>
            </w:r>
          </w:p>
        </w:tc>
        <w:tc>
          <w:tcPr>
            <w:tcW w:w="0" w:type="auto"/>
            <w:vAlign w:val="center"/>
            <w:hideMark/>
          </w:tcPr>
          <w:p w14:paraId="4A3A0278" w14:textId="77777777" w:rsidR="00063F3D" w:rsidRPr="00436AD8" w:rsidRDefault="00E5154D" w:rsidP="00191EED">
            <w:pPr>
              <w:rPr>
                <w:rFonts w:cstheme="minorHAnsi"/>
              </w:rPr>
            </w:pPr>
            <w:hyperlink r:id="rId111" w:history="1">
              <w:r w:rsidR="00063F3D" w:rsidRPr="00436AD8">
                <w:rPr>
                  <w:rStyle w:val="Hyperlink"/>
                  <w:rFonts w:cstheme="minorHAnsi"/>
                </w:rPr>
                <w:t>Federal Deposit Insurance Corporation</w:t>
              </w:r>
            </w:hyperlink>
            <w:r w:rsidR="00063F3D" w:rsidRPr="00436AD8">
              <w:rPr>
                <w:rFonts w:cstheme="minorHAnsi"/>
              </w:rPr>
              <w:t xml:space="preserve"> </w:t>
            </w:r>
          </w:p>
        </w:tc>
      </w:tr>
      <w:tr w:rsidR="00063F3D" w:rsidRPr="00436AD8" w14:paraId="75E5E39F" w14:textId="77777777" w:rsidTr="00191EED">
        <w:trPr>
          <w:cantSplit/>
          <w:trHeight w:val="144"/>
          <w:tblCellSpacing w:w="0" w:type="dxa"/>
        </w:trPr>
        <w:tc>
          <w:tcPr>
            <w:tcW w:w="0" w:type="auto"/>
            <w:vAlign w:val="center"/>
            <w:hideMark/>
          </w:tcPr>
          <w:p w14:paraId="22FFBAF9" w14:textId="77777777" w:rsidR="00063F3D" w:rsidRPr="00436AD8" w:rsidRDefault="00063F3D" w:rsidP="00191EED">
            <w:pPr>
              <w:rPr>
                <w:rFonts w:cstheme="minorHAnsi"/>
              </w:rPr>
            </w:pPr>
            <w:r w:rsidRPr="00436AD8">
              <w:rPr>
                <w:rFonts w:cstheme="minorHAnsi"/>
              </w:rPr>
              <w:t>EFTA</w:t>
            </w:r>
          </w:p>
        </w:tc>
        <w:tc>
          <w:tcPr>
            <w:tcW w:w="0" w:type="auto"/>
            <w:vAlign w:val="center"/>
            <w:hideMark/>
          </w:tcPr>
          <w:p w14:paraId="47B495DC" w14:textId="77777777" w:rsidR="00063F3D" w:rsidRPr="00436AD8" w:rsidRDefault="00E5154D" w:rsidP="00191EED">
            <w:pPr>
              <w:rPr>
                <w:rFonts w:cstheme="minorHAnsi"/>
              </w:rPr>
            </w:pPr>
            <w:hyperlink r:id="rId112" w:history="1">
              <w:r w:rsidR="00063F3D" w:rsidRPr="00436AD8">
                <w:rPr>
                  <w:rStyle w:val="Hyperlink"/>
                  <w:rFonts w:cstheme="minorHAnsi"/>
                </w:rPr>
                <w:t>Electronic Fund Transfer Act</w:t>
              </w:r>
            </w:hyperlink>
          </w:p>
        </w:tc>
      </w:tr>
      <w:tr w:rsidR="00063F3D" w:rsidRPr="00436AD8" w14:paraId="69D50873" w14:textId="77777777" w:rsidTr="00191EED">
        <w:trPr>
          <w:cantSplit/>
          <w:trHeight w:val="144"/>
          <w:tblCellSpacing w:w="0" w:type="dxa"/>
        </w:trPr>
        <w:tc>
          <w:tcPr>
            <w:tcW w:w="0" w:type="auto"/>
            <w:vAlign w:val="center"/>
            <w:hideMark/>
          </w:tcPr>
          <w:p w14:paraId="0F5A4EA4" w14:textId="77777777" w:rsidR="00063F3D" w:rsidRPr="00436AD8" w:rsidRDefault="00063F3D" w:rsidP="00191EED">
            <w:pPr>
              <w:rPr>
                <w:rFonts w:cstheme="minorHAnsi"/>
              </w:rPr>
            </w:pPr>
            <w:r w:rsidRPr="00436AD8">
              <w:rPr>
                <w:rFonts w:cstheme="minorHAnsi"/>
              </w:rPr>
              <w:t xml:space="preserve">Federal bank regulatory agencies </w:t>
            </w:r>
          </w:p>
        </w:tc>
        <w:tc>
          <w:tcPr>
            <w:tcW w:w="0" w:type="auto"/>
            <w:vAlign w:val="center"/>
            <w:hideMark/>
          </w:tcPr>
          <w:p w14:paraId="16879111" w14:textId="77777777" w:rsidR="00063F3D" w:rsidRPr="00436AD8" w:rsidRDefault="00063F3D" w:rsidP="00191EED">
            <w:pPr>
              <w:rPr>
                <w:rFonts w:cstheme="minorHAnsi"/>
              </w:rPr>
            </w:pPr>
            <w:r w:rsidRPr="00436AD8">
              <w:rPr>
                <w:rFonts w:cstheme="minorHAnsi"/>
              </w:rPr>
              <w:t xml:space="preserve">FDIC, FRB, and OCC </w:t>
            </w:r>
          </w:p>
        </w:tc>
      </w:tr>
      <w:tr w:rsidR="00063F3D" w:rsidRPr="00436AD8" w14:paraId="69758E16" w14:textId="77777777" w:rsidTr="00191EED">
        <w:trPr>
          <w:cantSplit/>
          <w:trHeight w:val="144"/>
          <w:tblCellSpacing w:w="0" w:type="dxa"/>
        </w:trPr>
        <w:tc>
          <w:tcPr>
            <w:tcW w:w="0" w:type="auto"/>
            <w:vAlign w:val="center"/>
            <w:hideMark/>
          </w:tcPr>
          <w:p w14:paraId="2CB2045D" w14:textId="77777777" w:rsidR="00063F3D" w:rsidRPr="00436AD8" w:rsidRDefault="00063F3D" w:rsidP="00191EED">
            <w:pPr>
              <w:rPr>
                <w:rFonts w:cstheme="minorHAnsi"/>
              </w:rPr>
            </w:pPr>
            <w:r w:rsidRPr="00436AD8">
              <w:rPr>
                <w:rFonts w:cstheme="minorHAnsi"/>
              </w:rPr>
              <w:t xml:space="preserve">Federal financial institution regulatory agencies </w:t>
            </w:r>
          </w:p>
        </w:tc>
        <w:tc>
          <w:tcPr>
            <w:tcW w:w="0" w:type="auto"/>
            <w:vAlign w:val="center"/>
            <w:hideMark/>
          </w:tcPr>
          <w:p w14:paraId="445E1C6E" w14:textId="385ABEA0" w:rsidR="00063F3D" w:rsidRPr="00436AD8" w:rsidRDefault="00517A1A" w:rsidP="00191EED">
            <w:pPr>
              <w:rPr>
                <w:rFonts w:cstheme="minorHAnsi"/>
              </w:rPr>
            </w:pPr>
            <w:r>
              <w:rPr>
                <w:rFonts w:cstheme="minorHAnsi"/>
              </w:rPr>
              <w:t>BFCP</w:t>
            </w:r>
            <w:r w:rsidR="00063F3D" w:rsidRPr="00436AD8">
              <w:rPr>
                <w:rFonts w:cstheme="minorHAnsi"/>
              </w:rPr>
              <w:t xml:space="preserve">, FDIC, FRB, NCUA, and OCC </w:t>
            </w:r>
          </w:p>
        </w:tc>
      </w:tr>
      <w:tr w:rsidR="00063F3D" w:rsidRPr="00436AD8" w14:paraId="67BB4DDB" w14:textId="77777777" w:rsidTr="00191EED">
        <w:trPr>
          <w:cantSplit/>
          <w:trHeight w:val="144"/>
          <w:tblCellSpacing w:w="0" w:type="dxa"/>
        </w:trPr>
        <w:tc>
          <w:tcPr>
            <w:tcW w:w="0" w:type="auto"/>
            <w:vAlign w:val="center"/>
            <w:hideMark/>
          </w:tcPr>
          <w:p w14:paraId="5DD8D1EF" w14:textId="77777777" w:rsidR="00063F3D" w:rsidRPr="00436AD8" w:rsidRDefault="00063F3D" w:rsidP="00191EED">
            <w:pPr>
              <w:rPr>
                <w:rFonts w:cstheme="minorHAnsi"/>
              </w:rPr>
            </w:pPr>
            <w:r w:rsidRPr="00436AD8">
              <w:rPr>
                <w:rFonts w:cstheme="minorHAnsi"/>
              </w:rPr>
              <w:t>FEMA</w:t>
            </w:r>
          </w:p>
        </w:tc>
        <w:tc>
          <w:tcPr>
            <w:tcW w:w="0" w:type="auto"/>
            <w:vAlign w:val="center"/>
            <w:hideMark/>
          </w:tcPr>
          <w:p w14:paraId="61FAA5E6" w14:textId="77777777" w:rsidR="00063F3D" w:rsidRPr="00436AD8" w:rsidRDefault="00E5154D" w:rsidP="00191EED">
            <w:pPr>
              <w:rPr>
                <w:rFonts w:cstheme="minorHAnsi"/>
              </w:rPr>
            </w:pPr>
            <w:hyperlink r:id="rId113" w:history="1">
              <w:r w:rsidR="00063F3D" w:rsidRPr="00436AD8">
                <w:rPr>
                  <w:rStyle w:val="Hyperlink"/>
                  <w:rFonts w:cstheme="minorHAnsi"/>
                </w:rPr>
                <w:t>Federal Emergency Management Agency</w:t>
              </w:r>
            </w:hyperlink>
          </w:p>
        </w:tc>
      </w:tr>
      <w:tr w:rsidR="00063F3D" w:rsidRPr="00436AD8" w14:paraId="168F5E99" w14:textId="77777777" w:rsidTr="00191EED">
        <w:trPr>
          <w:cantSplit/>
          <w:trHeight w:val="144"/>
          <w:tblCellSpacing w:w="0" w:type="dxa"/>
        </w:trPr>
        <w:tc>
          <w:tcPr>
            <w:tcW w:w="0" w:type="auto"/>
            <w:vAlign w:val="center"/>
            <w:hideMark/>
          </w:tcPr>
          <w:p w14:paraId="17A6BA94" w14:textId="77777777" w:rsidR="00063F3D" w:rsidRPr="00436AD8" w:rsidRDefault="00063F3D" w:rsidP="00191EED">
            <w:pPr>
              <w:rPr>
                <w:rFonts w:cstheme="minorHAnsi"/>
              </w:rPr>
            </w:pPr>
            <w:r w:rsidRPr="00436AD8">
              <w:rPr>
                <w:rFonts w:cstheme="minorHAnsi"/>
              </w:rPr>
              <w:lastRenderedPageBreak/>
              <w:t>FFIEC</w:t>
            </w:r>
          </w:p>
        </w:tc>
        <w:tc>
          <w:tcPr>
            <w:tcW w:w="0" w:type="auto"/>
            <w:vAlign w:val="center"/>
            <w:hideMark/>
          </w:tcPr>
          <w:p w14:paraId="72508871" w14:textId="77777777" w:rsidR="00063F3D" w:rsidRPr="00436AD8" w:rsidRDefault="00E5154D" w:rsidP="00191EED">
            <w:pPr>
              <w:rPr>
                <w:rFonts w:cstheme="minorHAnsi"/>
              </w:rPr>
            </w:pPr>
            <w:hyperlink r:id="rId114" w:history="1">
              <w:r w:rsidR="00063F3D" w:rsidRPr="00436AD8">
                <w:rPr>
                  <w:rStyle w:val="Hyperlink"/>
                  <w:rFonts w:cstheme="minorHAnsi"/>
                </w:rPr>
                <w:t>Federal Financial Institutions Examination Council</w:t>
              </w:r>
            </w:hyperlink>
          </w:p>
        </w:tc>
      </w:tr>
      <w:tr w:rsidR="00063F3D" w:rsidRPr="00436AD8" w14:paraId="6B34D5A1" w14:textId="77777777" w:rsidTr="00191EED">
        <w:trPr>
          <w:cantSplit/>
          <w:trHeight w:val="144"/>
          <w:tblCellSpacing w:w="0" w:type="dxa"/>
        </w:trPr>
        <w:tc>
          <w:tcPr>
            <w:tcW w:w="0" w:type="auto"/>
            <w:vAlign w:val="center"/>
            <w:hideMark/>
          </w:tcPr>
          <w:p w14:paraId="152CDDB0" w14:textId="77777777" w:rsidR="00063F3D" w:rsidRPr="00436AD8" w:rsidRDefault="00063F3D" w:rsidP="00191EED">
            <w:pPr>
              <w:rPr>
                <w:rFonts w:cstheme="minorHAnsi"/>
              </w:rPr>
            </w:pPr>
            <w:r w:rsidRPr="00436AD8">
              <w:rPr>
                <w:rFonts w:cstheme="minorHAnsi"/>
              </w:rPr>
              <w:t>FHFA</w:t>
            </w:r>
          </w:p>
        </w:tc>
        <w:tc>
          <w:tcPr>
            <w:tcW w:w="0" w:type="auto"/>
            <w:vAlign w:val="center"/>
            <w:hideMark/>
          </w:tcPr>
          <w:p w14:paraId="75417510" w14:textId="77777777" w:rsidR="00063F3D" w:rsidRPr="00436AD8" w:rsidRDefault="00E5154D" w:rsidP="00191EED">
            <w:pPr>
              <w:rPr>
                <w:rFonts w:cstheme="minorHAnsi"/>
              </w:rPr>
            </w:pPr>
            <w:hyperlink r:id="rId115" w:history="1">
              <w:r w:rsidR="00063F3D" w:rsidRPr="00436AD8">
                <w:rPr>
                  <w:rStyle w:val="Hyperlink"/>
                  <w:rFonts w:cstheme="minorHAnsi"/>
                </w:rPr>
                <w:t>Federal Housing Finance Agency</w:t>
              </w:r>
            </w:hyperlink>
          </w:p>
        </w:tc>
      </w:tr>
      <w:tr w:rsidR="00063F3D" w:rsidRPr="00436AD8" w14:paraId="4C1D7966" w14:textId="77777777" w:rsidTr="00191EED">
        <w:trPr>
          <w:cantSplit/>
          <w:trHeight w:val="144"/>
          <w:tblCellSpacing w:w="0" w:type="dxa"/>
        </w:trPr>
        <w:tc>
          <w:tcPr>
            <w:tcW w:w="0" w:type="auto"/>
            <w:vAlign w:val="center"/>
            <w:hideMark/>
          </w:tcPr>
          <w:p w14:paraId="64F47434" w14:textId="77777777" w:rsidR="00063F3D" w:rsidRPr="00436AD8" w:rsidRDefault="00063F3D" w:rsidP="00191EED">
            <w:pPr>
              <w:rPr>
                <w:rFonts w:cstheme="minorHAnsi"/>
              </w:rPr>
            </w:pPr>
            <w:r w:rsidRPr="00436AD8">
              <w:rPr>
                <w:rFonts w:cstheme="minorHAnsi"/>
              </w:rPr>
              <w:t>FHA</w:t>
            </w:r>
          </w:p>
        </w:tc>
        <w:tc>
          <w:tcPr>
            <w:tcW w:w="0" w:type="auto"/>
            <w:vAlign w:val="center"/>
            <w:hideMark/>
          </w:tcPr>
          <w:p w14:paraId="111ACC54" w14:textId="77777777" w:rsidR="00063F3D" w:rsidRPr="00436AD8" w:rsidRDefault="00E5154D" w:rsidP="00191EED">
            <w:pPr>
              <w:rPr>
                <w:rFonts w:cstheme="minorHAnsi"/>
              </w:rPr>
            </w:pPr>
            <w:hyperlink r:id="rId116" w:history="1">
              <w:r w:rsidR="00063F3D" w:rsidRPr="00436AD8">
                <w:rPr>
                  <w:rStyle w:val="Hyperlink"/>
                  <w:rFonts w:cstheme="minorHAnsi"/>
                </w:rPr>
                <w:t>Federal Housing Administration</w:t>
              </w:r>
            </w:hyperlink>
          </w:p>
        </w:tc>
      </w:tr>
      <w:tr w:rsidR="00063F3D" w:rsidRPr="00436AD8" w14:paraId="18FDCE15" w14:textId="77777777" w:rsidTr="00191EED">
        <w:trPr>
          <w:cantSplit/>
          <w:trHeight w:val="144"/>
          <w:tblCellSpacing w:w="0" w:type="dxa"/>
        </w:trPr>
        <w:tc>
          <w:tcPr>
            <w:tcW w:w="0" w:type="auto"/>
            <w:vAlign w:val="center"/>
            <w:hideMark/>
          </w:tcPr>
          <w:p w14:paraId="21C71174" w14:textId="77777777" w:rsidR="00063F3D" w:rsidRPr="00436AD8" w:rsidRDefault="00063F3D" w:rsidP="00191EED">
            <w:pPr>
              <w:rPr>
                <w:rFonts w:cstheme="minorHAnsi"/>
              </w:rPr>
            </w:pPr>
            <w:r w:rsidRPr="00436AD8">
              <w:rPr>
                <w:rFonts w:cstheme="minorHAnsi"/>
              </w:rPr>
              <w:t>FinCEN</w:t>
            </w:r>
          </w:p>
        </w:tc>
        <w:tc>
          <w:tcPr>
            <w:tcW w:w="0" w:type="auto"/>
            <w:vAlign w:val="center"/>
            <w:hideMark/>
          </w:tcPr>
          <w:p w14:paraId="6CF548FC" w14:textId="77777777" w:rsidR="00063F3D" w:rsidRPr="00436AD8" w:rsidRDefault="00E5154D" w:rsidP="00191EED">
            <w:pPr>
              <w:rPr>
                <w:rFonts w:cstheme="minorHAnsi"/>
              </w:rPr>
            </w:pPr>
            <w:hyperlink r:id="rId117" w:history="1">
              <w:r w:rsidR="00063F3D" w:rsidRPr="00436AD8">
                <w:rPr>
                  <w:rStyle w:val="Hyperlink"/>
                  <w:rFonts w:cstheme="minorHAnsi"/>
                </w:rPr>
                <w:t>Financial Crime Enforcement Network</w:t>
              </w:r>
            </w:hyperlink>
          </w:p>
        </w:tc>
      </w:tr>
      <w:tr w:rsidR="00063F3D" w:rsidRPr="00436AD8" w14:paraId="56CB2FF2" w14:textId="77777777" w:rsidTr="00191EED">
        <w:trPr>
          <w:cantSplit/>
          <w:trHeight w:val="144"/>
          <w:tblCellSpacing w:w="0" w:type="dxa"/>
        </w:trPr>
        <w:tc>
          <w:tcPr>
            <w:tcW w:w="0" w:type="auto"/>
            <w:vAlign w:val="center"/>
            <w:hideMark/>
          </w:tcPr>
          <w:p w14:paraId="5BD7A9B5" w14:textId="77777777" w:rsidR="00063F3D" w:rsidRPr="00436AD8" w:rsidRDefault="00063F3D" w:rsidP="00191EED">
            <w:pPr>
              <w:rPr>
                <w:rFonts w:cstheme="minorHAnsi"/>
              </w:rPr>
            </w:pPr>
            <w:r w:rsidRPr="00436AD8">
              <w:rPr>
                <w:rFonts w:cstheme="minorHAnsi"/>
              </w:rPr>
              <w:t>FR</w:t>
            </w:r>
          </w:p>
        </w:tc>
        <w:tc>
          <w:tcPr>
            <w:tcW w:w="0" w:type="auto"/>
            <w:vAlign w:val="center"/>
            <w:hideMark/>
          </w:tcPr>
          <w:p w14:paraId="7B9679CA" w14:textId="77777777" w:rsidR="00063F3D" w:rsidRPr="00436AD8" w:rsidRDefault="00E5154D" w:rsidP="00191EED">
            <w:pPr>
              <w:rPr>
                <w:rFonts w:cstheme="minorHAnsi"/>
              </w:rPr>
            </w:pPr>
            <w:hyperlink r:id="rId118" w:history="1">
              <w:r w:rsidR="00063F3D" w:rsidRPr="00436AD8">
                <w:rPr>
                  <w:rStyle w:val="Hyperlink"/>
                  <w:rFonts w:cstheme="minorHAnsi"/>
                </w:rPr>
                <w:t>Federal Register</w:t>
              </w:r>
            </w:hyperlink>
            <w:r w:rsidR="00063F3D" w:rsidRPr="00436AD8">
              <w:rPr>
                <w:rFonts w:cstheme="minorHAnsi"/>
              </w:rPr>
              <w:t>. U.S. government daily publication that contains proposed and final administrative regulations of federal agencies.</w:t>
            </w:r>
          </w:p>
        </w:tc>
      </w:tr>
      <w:tr w:rsidR="00063F3D" w:rsidRPr="00436AD8" w14:paraId="397E7DA1" w14:textId="77777777" w:rsidTr="00191EED">
        <w:trPr>
          <w:cantSplit/>
          <w:trHeight w:val="144"/>
          <w:tblCellSpacing w:w="0" w:type="dxa"/>
        </w:trPr>
        <w:tc>
          <w:tcPr>
            <w:tcW w:w="0" w:type="auto"/>
            <w:vAlign w:val="center"/>
            <w:hideMark/>
          </w:tcPr>
          <w:p w14:paraId="4BFB309A" w14:textId="77777777" w:rsidR="00063F3D" w:rsidRPr="00436AD8" w:rsidRDefault="00063F3D" w:rsidP="00191EED">
            <w:pPr>
              <w:rPr>
                <w:rFonts w:cstheme="minorHAnsi"/>
              </w:rPr>
            </w:pPr>
            <w:r w:rsidRPr="00436AD8">
              <w:rPr>
                <w:rFonts w:cstheme="minorHAnsi"/>
              </w:rPr>
              <w:t>FRB, Fed or Federal Reserve</w:t>
            </w:r>
          </w:p>
        </w:tc>
        <w:tc>
          <w:tcPr>
            <w:tcW w:w="0" w:type="auto"/>
            <w:vAlign w:val="center"/>
            <w:hideMark/>
          </w:tcPr>
          <w:p w14:paraId="7E846E0A" w14:textId="77777777" w:rsidR="00063F3D" w:rsidRPr="00436AD8" w:rsidRDefault="00E5154D" w:rsidP="00191EED">
            <w:pPr>
              <w:rPr>
                <w:rFonts w:cstheme="minorHAnsi"/>
              </w:rPr>
            </w:pPr>
            <w:hyperlink r:id="rId119" w:history="1">
              <w:r w:rsidR="00063F3D" w:rsidRPr="00436AD8">
                <w:rPr>
                  <w:rStyle w:val="Hyperlink"/>
                  <w:rFonts w:cstheme="minorHAnsi"/>
                </w:rPr>
                <w:t>Federal Reserve Board</w:t>
              </w:r>
            </w:hyperlink>
            <w:r w:rsidR="00063F3D" w:rsidRPr="00436AD8">
              <w:rPr>
                <w:rFonts w:cstheme="minorHAnsi"/>
              </w:rPr>
              <w:t xml:space="preserve"> </w:t>
            </w:r>
          </w:p>
        </w:tc>
      </w:tr>
      <w:tr w:rsidR="00063F3D" w:rsidRPr="00436AD8" w14:paraId="2E5DB7C2" w14:textId="77777777" w:rsidTr="00191EED">
        <w:trPr>
          <w:cantSplit/>
          <w:trHeight w:val="144"/>
          <w:tblCellSpacing w:w="0" w:type="dxa"/>
        </w:trPr>
        <w:tc>
          <w:tcPr>
            <w:tcW w:w="0" w:type="auto"/>
            <w:vAlign w:val="center"/>
          </w:tcPr>
          <w:p w14:paraId="44A6570A" w14:textId="77777777" w:rsidR="00063F3D" w:rsidRPr="00436AD8" w:rsidRDefault="00063F3D" w:rsidP="00191EED">
            <w:pPr>
              <w:rPr>
                <w:rFonts w:cstheme="minorHAnsi"/>
              </w:rPr>
            </w:pPr>
            <w:r w:rsidRPr="00436AD8">
              <w:rPr>
                <w:rFonts w:cstheme="minorHAnsi"/>
              </w:rPr>
              <w:t>FSOC</w:t>
            </w:r>
          </w:p>
        </w:tc>
        <w:tc>
          <w:tcPr>
            <w:tcW w:w="0" w:type="auto"/>
            <w:vAlign w:val="center"/>
          </w:tcPr>
          <w:p w14:paraId="3C65F466" w14:textId="77777777" w:rsidR="00063F3D" w:rsidRPr="00436AD8" w:rsidRDefault="00E5154D" w:rsidP="00191EED">
            <w:pPr>
              <w:rPr>
                <w:rFonts w:cstheme="minorHAnsi"/>
              </w:rPr>
            </w:pPr>
            <w:hyperlink r:id="rId120" w:history="1">
              <w:r w:rsidR="00063F3D" w:rsidRPr="00436AD8">
                <w:rPr>
                  <w:rStyle w:val="Hyperlink"/>
                  <w:rFonts w:cstheme="minorHAnsi"/>
                </w:rPr>
                <w:t>Financial Stability Oversight Council</w:t>
              </w:r>
            </w:hyperlink>
          </w:p>
        </w:tc>
      </w:tr>
      <w:tr w:rsidR="00063F3D" w:rsidRPr="00436AD8" w14:paraId="11ECBD1E" w14:textId="77777777" w:rsidTr="00191EED">
        <w:trPr>
          <w:cantSplit/>
          <w:trHeight w:val="144"/>
          <w:tblCellSpacing w:w="0" w:type="dxa"/>
        </w:trPr>
        <w:tc>
          <w:tcPr>
            <w:tcW w:w="0" w:type="auto"/>
            <w:vAlign w:val="center"/>
            <w:hideMark/>
          </w:tcPr>
          <w:p w14:paraId="5C5F6AFC" w14:textId="77777777" w:rsidR="00063F3D" w:rsidRPr="00436AD8" w:rsidRDefault="00063F3D" w:rsidP="00191EED">
            <w:pPr>
              <w:rPr>
                <w:rFonts w:cstheme="minorHAnsi"/>
              </w:rPr>
            </w:pPr>
            <w:r w:rsidRPr="00436AD8">
              <w:rPr>
                <w:rFonts w:cstheme="minorHAnsi"/>
              </w:rPr>
              <w:t>FTC</w:t>
            </w:r>
          </w:p>
        </w:tc>
        <w:tc>
          <w:tcPr>
            <w:tcW w:w="0" w:type="auto"/>
            <w:vAlign w:val="center"/>
            <w:hideMark/>
          </w:tcPr>
          <w:p w14:paraId="539839C3" w14:textId="77777777" w:rsidR="00063F3D" w:rsidRPr="00436AD8" w:rsidRDefault="00E5154D" w:rsidP="00191EED">
            <w:pPr>
              <w:rPr>
                <w:rFonts w:cstheme="minorHAnsi"/>
              </w:rPr>
            </w:pPr>
            <w:hyperlink r:id="rId121" w:history="1">
              <w:r w:rsidR="00063F3D" w:rsidRPr="00436AD8">
                <w:rPr>
                  <w:rStyle w:val="Hyperlink"/>
                  <w:rFonts w:cstheme="minorHAnsi"/>
                </w:rPr>
                <w:t>Federal Trade Commission</w:t>
              </w:r>
            </w:hyperlink>
          </w:p>
        </w:tc>
      </w:tr>
      <w:tr w:rsidR="00063F3D" w:rsidRPr="00436AD8" w14:paraId="172EE569" w14:textId="77777777" w:rsidTr="00191EED">
        <w:trPr>
          <w:cantSplit/>
          <w:trHeight w:val="144"/>
          <w:tblCellSpacing w:w="0" w:type="dxa"/>
        </w:trPr>
        <w:tc>
          <w:tcPr>
            <w:tcW w:w="0" w:type="auto"/>
            <w:vAlign w:val="center"/>
            <w:hideMark/>
          </w:tcPr>
          <w:p w14:paraId="421FE21E" w14:textId="77777777" w:rsidR="00063F3D" w:rsidRPr="00436AD8" w:rsidRDefault="00063F3D" w:rsidP="00191EED">
            <w:pPr>
              <w:rPr>
                <w:rFonts w:cstheme="minorHAnsi"/>
              </w:rPr>
            </w:pPr>
            <w:r w:rsidRPr="00436AD8">
              <w:rPr>
                <w:rFonts w:cstheme="minorHAnsi"/>
              </w:rPr>
              <w:t>GAO</w:t>
            </w:r>
          </w:p>
        </w:tc>
        <w:tc>
          <w:tcPr>
            <w:tcW w:w="0" w:type="auto"/>
            <w:vAlign w:val="center"/>
            <w:hideMark/>
          </w:tcPr>
          <w:p w14:paraId="5C3277E8" w14:textId="77777777" w:rsidR="00063F3D" w:rsidRPr="00436AD8" w:rsidRDefault="00E5154D" w:rsidP="00191EED">
            <w:pPr>
              <w:rPr>
                <w:rFonts w:cstheme="minorHAnsi"/>
              </w:rPr>
            </w:pPr>
            <w:hyperlink r:id="rId122" w:history="1">
              <w:r w:rsidR="00063F3D" w:rsidRPr="00436AD8">
                <w:rPr>
                  <w:rStyle w:val="Hyperlink"/>
                  <w:rFonts w:cstheme="minorHAnsi"/>
                </w:rPr>
                <w:t>Government Accountability Office</w:t>
              </w:r>
            </w:hyperlink>
          </w:p>
        </w:tc>
      </w:tr>
      <w:tr w:rsidR="00063F3D" w:rsidRPr="00436AD8" w14:paraId="69281288" w14:textId="77777777" w:rsidTr="00191EED">
        <w:trPr>
          <w:cantSplit/>
          <w:trHeight w:val="144"/>
          <w:tblCellSpacing w:w="0" w:type="dxa"/>
        </w:trPr>
        <w:tc>
          <w:tcPr>
            <w:tcW w:w="0" w:type="auto"/>
            <w:vAlign w:val="center"/>
          </w:tcPr>
          <w:p w14:paraId="7D23B6B9" w14:textId="77777777" w:rsidR="00063F3D" w:rsidRPr="00436AD8" w:rsidRDefault="00063F3D" w:rsidP="00191EED">
            <w:pPr>
              <w:rPr>
                <w:rFonts w:cstheme="minorHAnsi"/>
              </w:rPr>
            </w:pPr>
            <w:r w:rsidRPr="00436AD8">
              <w:rPr>
                <w:rFonts w:cstheme="minorHAnsi"/>
              </w:rPr>
              <w:t>HARP</w:t>
            </w:r>
          </w:p>
        </w:tc>
        <w:tc>
          <w:tcPr>
            <w:tcW w:w="0" w:type="auto"/>
            <w:vAlign w:val="center"/>
          </w:tcPr>
          <w:p w14:paraId="5E25BF48" w14:textId="77777777" w:rsidR="00063F3D" w:rsidRPr="00436AD8" w:rsidRDefault="00E5154D" w:rsidP="00191EED">
            <w:pPr>
              <w:rPr>
                <w:rFonts w:cstheme="minorHAnsi"/>
              </w:rPr>
            </w:pPr>
            <w:hyperlink r:id="rId123" w:history="1">
              <w:r w:rsidR="00063F3D" w:rsidRPr="00436AD8">
                <w:rPr>
                  <w:rStyle w:val="Hyperlink"/>
                  <w:rFonts w:cstheme="minorHAnsi"/>
                </w:rPr>
                <w:t>Home Affordable Refinance Program</w:t>
              </w:r>
            </w:hyperlink>
          </w:p>
        </w:tc>
      </w:tr>
      <w:tr w:rsidR="00063F3D" w:rsidRPr="00436AD8" w14:paraId="5D81D5CE" w14:textId="77777777" w:rsidTr="00191EED">
        <w:trPr>
          <w:cantSplit/>
          <w:trHeight w:val="144"/>
          <w:tblCellSpacing w:w="0" w:type="dxa"/>
        </w:trPr>
        <w:tc>
          <w:tcPr>
            <w:tcW w:w="0" w:type="auto"/>
            <w:vAlign w:val="center"/>
          </w:tcPr>
          <w:p w14:paraId="415BE265" w14:textId="77777777" w:rsidR="00063F3D" w:rsidRPr="00436AD8" w:rsidRDefault="00063F3D" w:rsidP="00191EED">
            <w:pPr>
              <w:rPr>
                <w:rFonts w:cstheme="minorHAnsi"/>
              </w:rPr>
            </w:pPr>
            <w:r w:rsidRPr="00436AD8">
              <w:rPr>
                <w:rFonts w:cstheme="minorHAnsi"/>
              </w:rPr>
              <w:t>HAMP</w:t>
            </w:r>
          </w:p>
        </w:tc>
        <w:tc>
          <w:tcPr>
            <w:tcW w:w="0" w:type="auto"/>
            <w:vAlign w:val="center"/>
          </w:tcPr>
          <w:p w14:paraId="7D09013F" w14:textId="77777777" w:rsidR="00063F3D" w:rsidRPr="00436AD8" w:rsidRDefault="00E5154D" w:rsidP="00191EED">
            <w:pPr>
              <w:rPr>
                <w:rFonts w:cstheme="minorHAnsi"/>
              </w:rPr>
            </w:pPr>
            <w:hyperlink r:id="rId124" w:history="1">
              <w:r w:rsidR="00063F3D" w:rsidRPr="00436AD8">
                <w:rPr>
                  <w:rStyle w:val="Hyperlink"/>
                  <w:rFonts w:cstheme="minorHAnsi"/>
                </w:rPr>
                <w:t>Home Affordable Modification Program</w:t>
              </w:r>
            </w:hyperlink>
          </w:p>
        </w:tc>
      </w:tr>
      <w:tr w:rsidR="00063F3D" w:rsidRPr="00436AD8" w14:paraId="33EE52B7" w14:textId="77777777" w:rsidTr="00191EED">
        <w:trPr>
          <w:cantSplit/>
          <w:trHeight w:val="144"/>
          <w:tblCellSpacing w:w="0" w:type="dxa"/>
        </w:trPr>
        <w:tc>
          <w:tcPr>
            <w:tcW w:w="0" w:type="auto"/>
            <w:vAlign w:val="center"/>
            <w:hideMark/>
          </w:tcPr>
          <w:p w14:paraId="58F42CDB" w14:textId="77777777" w:rsidR="00063F3D" w:rsidRPr="00436AD8" w:rsidRDefault="00063F3D" w:rsidP="00191EED">
            <w:pPr>
              <w:rPr>
                <w:rFonts w:cstheme="minorHAnsi"/>
              </w:rPr>
            </w:pPr>
            <w:r w:rsidRPr="00436AD8">
              <w:rPr>
                <w:rFonts w:cstheme="minorHAnsi"/>
              </w:rPr>
              <w:t>HMDA</w:t>
            </w:r>
          </w:p>
        </w:tc>
        <w:tc>
          <w:tcPr>
            <w:tcW w:w="0" w:type="auto"/>
            <w:vAlign w:val="center"/>
            <w:hideMark/>
          </w:tcPr>
          <w:p w14:paraId="2A69B26A" w14:textId="77777777" w:rsidR="00063F3D" w:rsidRPr="00436AD8" w:rsidRDefault="00E5154D" w:rsidP="00191EED">
            <w:pPr>
              <w:rPr>
                <w:rFonts w:cstheme="minorHAnsi"/>
              </w:rPr>
            </w:pPr>
            <w:hyperlink r:id="rId125" w:history="1">
              <w:r w:rsidR="00063F3D" w:rsidRPr="00436AD8">
                <w:rPr>
                  <w:rStyle w:val="Hyperlink"/>
                  <w:rFonts w:cstheme="minorHAnsi"/>
                </w:rPr>
                <w:t>Home Mortgage Disclosure Act</w:t>
              </w:r>
            </w:hyperlink>
          </w:p>
        </w:tc>
      </w:tr>
      <w:tr w:rsidR="00063F3D" w:rsidRPr="00436AD8" w14:paraId="410BAE37" w14:textId="77777777" w:rsidTr="00191EED">
        <w:trPr>
          <w:cantSplit/>
          <w:trHeight w:val="144"/>
          <w:tblCellSpacing w:w="0" w:type="dxa"/>
        </w:trPr>
        <w:tc>
          <w:tcPr>
            <w:tcW w:w="0" w:type="auto"/>
            <w:vAlign w:val="center"/>
            <w:hideMark/>
          </w:tcPr>
          <w:p w14:paraId="58E817E3" w14:textId="77777777" w:rsidR="00063F3D" w:rsidRPr="00436AD8" w:rsidRDefault="00063F3D" w:rsidP="00191EED">
            <w:pPr>
              <w:rPr>
                <w:rFonts w:cstheme="minorHAnsi"/>
              </w:rPr>
            </w:pPr>
            <w:r w:rsidRPr="00436AD8">
              <w:rPr>
                <w:rFonts w:cstheme="minorHAnsi"/>
              </w:rPr>
              <w:t>HOEPA</w:t>
            </w:r>
          </w:p>
        </w:tc>
        <w:tc>
          <w:tcPr>
            <w:tcW w:w="0" w:type="auto"/>
            <w:vAlign w:val="center"/>
            <w:hideMark/>
          </w:tcPr>
          <w:p w14:paraId="5AE93E66" w14:textId="77777777" w:rsidR="00063F3D" w:rsidRPr="00436AD8" w:rsidRDefault="00E5154D" w:rsidP="00191EED">
            <w:pPr>
              <w:rPr>
                <w:rFonts w:cstheme="minorHAnsi"/>
              </w:rPr>
            </w:pPr>
            <w:hyperlink r:id="rId126" w:history="1">
              <w:r w:rsidR="00063F3D" w:rsidRPr="00436AD8">
                <w:rPr>
                  <w:rStyle w:val="Hyperlink"/>
                  <w:rFonts w:cstheme="minorHAnsi"/>
                </w:rPr>
                <w:t>Home Ownership and Equity Protections Act of 1994</w:t>
              </w:r>
            </w:hyperlink>
          </w:p>
        </w:tc>
      </w:tr>
      <w:tr w:rsidR="00063F3D" w:rsidRPr="00436AD8" w14:paraId="1243AE79" w14:textId="77777777" w:rsidTr="00191EED">
        <w:trPr>
          <w:cantSplit/>
          <w:trHeight w:val="144"/>
          <w:tblCellSpacing w:w="0" w:type="dxa"/>
        </w:trPr>
        <w:tc>
          <w:tcPr>
            <w:tcW w:w="0" w:type="auto"/>
            <w:vAlign w:val="center"/>
            <w:hideMark/>
          </w:tcPr>
          <w:p w14:paraId="782741AE" w14:textId="77777777" w:rsidR="00063F3D" w:rsidRPr="00436AD8" w:rsidRDefault="00063F3D" w:rsidP="00191EED">
            <w:pPr>
              <w:rPr>
                <w:rFonts w:cstheme="minorHAnsi"/>
              </w:rPr>
            </w:pPr>
            <w:r w:rsidRPr="00436AD8">
              <w:rPr>
                <w:rFonts w:cstheme="minorHAnsi"/>
              </w:rPr>
              <w:t>HPML</w:t>
            </w:r>
          </w:p>
        </w:tc>
        <w:tc>
          <w:tcPr>
            <w:tcW w:w="0" w:type="auto"/>
            <w:vAlign w:val="center"/>
            <w:hideMark/>
          </w:tcPr>
          <w:p w14:paraId="150F97EA" w14:textId="77777777" w:rsidR="00063F3D" w:rsidRPr="00436AD8" w:rsidRDefault="00E5154D" w:rsidP="00191EED">
            <w:pPr>
              <w:rPr>
                <w:rFonts w:cstheme="minorHAnsi"/>
              </w:rPr>
            </w:pPr>
            <w:hyperlink r:id="rId127" w:history="1">
              <w:r w:rsidR="00063F3D" w:rsidRPr="00436AD8">
                <w:rPr>
                  <w:rStyle w:val="Hyperlink"/>
                  <w:rFonts w:cstheme="minorHAnsi"/>
                </w:rPr>
                <w:t>Higher Priced Mortgage Loan</w:t>
              </w:r>
            </w:hyperlink>
          </w:p>
        </w:tc>
      </w:tr>
      <w:tr w:rsidR="00063F3D" w:rsidRPr="00436AD8" w14:paraId="5CEAE193" w14:textId="77777777" w:rsidTr="00191EED">
        <w:trPr>
          <w:cantSplit/>
          <w:trHeight w:val="144"/>
          <w:tblCellSpacing w:w="0" w:type="dxa"/>
        </w:trPr>
        <w:tc>
          <w:tcPr>
            <w:tcW w:w="0" w:type="auto"/>
            <w:vAlign w:val="center"/>
            <w:hideMark/>
          </w:tcPr>
          <w:p w14:paraId="49890FDA" w14:textId="77777777" w:rsidR="00063F3D" w:rsidRPr="00436AD8" w:rsidRDefault="00063F3D" w:rsidP="00191EED">
            <w:pPr>
              <w:rPr>
                <w:rFonts w:cstheme="minorHAnsi"/>
              </w:rPr>
            </w:pPr>
            <w:r w:rsidRPr="00436AD8">
              <w:rPr>
                <w:rFonts w:cstheme="minorHAnsi"/>
              </w:rPr>
              <w:t>HUD</w:t>
            </w:r>
          </w:p>
        </w:tc>
        <w:tc>
          <w:tcPr>
            <w:tcW w:w="0" w:type="auto"/>
            <w:vAlign w:val="center"/>
            <w:hideMark/>
          </w:tcPr>
          <w:p w14:paraId="2A320B5E" w14:textId="77777777" w:rsidR="00063F3D" w:rsidRPr="00436AD8" w:rsidRDefault="00E5154D" w:rsidP="00191EED">
            <w:pPr>
              <w:rPr>
                <w:rFonts w:cstheme="minorHAnsi"/>
              </w:rPr>
            </w:pPr>
            <w:hyperlink r:id="rId128" w:history="1">
              <w:r w:rsidR="00063F3D" w:rsidRPr="00436AD8">
                <w:rPr>
                  <w:rStyle w:val="Hyperlink"/>
                  <w:rFonts w:cstheme="minorHAnsi"/>
                </w:rPr>
                <w:t>U.S. Department of Housing and Urban Development</w:t>
              </w:r>
            </w:hyperlink>
          </w:p>
        </w:tc>
      </w:tr>
      <w:tr w:rsidR="00063F3D" w:rsidRPr="00436AD8" w14:paraId="39A47A3F" w14:textId="77777777" w:rsidTr="00191EED">
        <w:trPr>
          <w:cantSplit/>
          <w:trHeight w:val="144"/>
          <w:tblCellSpacing w:w="0" w:type="dxa"/>
        </w:trPr>
        <w:tc>
          <w:tcPr>
            <w:tcW w:w="0" w:type="auto"/>
            <w:vAlign w:val="center"/>
            <w:hideMark/>
          </w:tcPr>
          <w:p w14:paraId="39DCA8BB" w14:textId="77777777" w:rsidR="00063F3D" w:rsidRPr="00436AD8" w:rsidRDefault="00063F3D" w:rsidP="00191EED">
            <w:pPr>
              <w:rPr>
                <w:rFonts w:cstheme="minorHAnsi"/>
              </w:rPr>
            </w:pPr>
            <w:r w:rsidRPr="00436AD8">
              <w:rPr>
                <w:rFonts w:cstheme="minorHAnsi"/>
              </w:rPr>
              <w:t>IRS</w:t>
            </w:r>
          </w:p>
        </w:tc>
        <w:tc>
          <w:tcPr>
            <w:tcW w:w="0" w:type="auto"/>
            <w:vAlign w:val="center"/>
            <w:hideMark/>
          </w:tcPr>
          <w:p w14:paraId="6141F017" w14:textId="77777777" w:rsidR="00063F3D" w:rsidRPr="00436AD8" w:rsidRDefault="00E5154D" w:rsidP="00191EED">
            <w:pPr>
              <w:rPr>
                <w:rFonts w:cstheme="minorHAnsi"/>
              </w:rPr>
            </w:pPr>
            <w:hyperlink r:id="rId129" w:history="1">
              <w:r w:rsidR="00063F3D" w:rsidRPr="00436AD8">
                <w:rPr>
                  <w:rStyle w:val="Hyperlink"/>
                  <w:rFonts w:cstheme="minorHAnsi"/>
                </w:rPr>
                <w:t>Internal Revenue Service</w:t>
              </w:r>
            </w:hyperlink>
          </w:p>
        </w:tc>
      </w:tr>
      <w:tr w:rsidR="00063F3D" w:rsidRPr="00436AD8" w14:paraId="56E09361" w14:textId="77777777" w:rsidTr="00191EED">
        <w:trPr>
          <w:cantSplit/>
          <w:trHeight w:val="144"/>
          <w:tblCellSpacing w:w="0" w:type="dxa"/>
        </w:trPr>
        <w:tc>
          <w:tcPr>
            <w:tcW w:w="0" w:type="auto"/>
            <w:vAlign w:val="center"/>
            <w:hideMark/>
          </w:tcPr>
          <w:p w14:paraId="75F29F32" w14:textId="77777777" w:rsidR="00063F3D" w:rsidRPr="00436AD8" w:rsidRDefault="00063F3D" w:rsidP="00191EED">
            <w:pPr>
              <w:rPr>
                <w:rFonts w:cstheme="minorHAnsi"/>
              </w:rPr>
            </w:pPr>
            <w:r w:rsidRPr="00436AD8">
              <w:rPr>
                <w:rFonts w:cstheme="minorHAnsi"/>
              </w:rPr>
              <w:t>MLO</w:t>
            </w:r>
          </w:p>
        </w:tc>
        <w:tc>
          <w:tcPr>
            <w:tcW w:w="0" w:type="auto"/>
            <w:vAlign w:val="center"/>
            <w:hideMark/>
          </w:tcPr>
          <w:p w14:paraId="77D238F9" w14:textId="77777777" w:rsidR="00063F3D" w:rsidRPr="00436AD8" w:rsidRDefault="00063F3D" w:rsidP="00191EED">
            <w:pPr>
              <w:rPr>
                <w:rFonts w:cstheme="minorHAnsi"/>
              </w:rPr>
            </w:pPr>
            <w:r w:rsidRPr="00436AD8">
              <w:rPr>
                <w:rFonts w:cstheme="minorHAnsi"/>
              </w:rPr>
              <w:t>Mortgage Loan Originator</w:t>
            </w:r>
          </w:p>
        </w:tc>
      </w:tr>
      <w:tr w:rsidR="00063F3D" w:rsidRPr="00436AD8" w14:paraId="413CFF35" w14:textId="77777777" w:rsidTr="00191EED">
        <w:trPr>
          <w:cantSplit/>
          <w:trHeight w:val="144"/>
          <w:tblCellSpacing w:w="0" w:type="dxa"/>
        </w:trPr>
        <w:tc>
          <w:tcPr>
            <w:tcW w:w="0" w:type="auto"/>
            <w:vAlign w:val="center"/>
            <w:hideMark/>
          </w:tcPr>
          <w:p w14:paraId="0082D1E0" w14:textId="77777777" w:rsidR="00063F3D" w:rsidRPr="00436AD8" w:rsidRDefault="00063F3D" w:rsidP="00191EED">
            <w:pPr>
              <w:rPr>
                <w:rFonts w:cstheme="minorHAnsi"/>
              </w:rPr>
            </w:pPr>
            <w:r w:rsidRPr="00436AD8">
              <w:rPr>
                <w:rFonts w:cstheme="minorHAnsi"/>
              </w:rPr>
              <w:t>MOU</w:t>
            </w:r>
          </w:p>
        </w:tc>
        <w:tc>
          <w:tcPr>
            <w:tcW w:w="0" w:type="auto"/>
            <w:vAlign w:val="center"/>
            <w:hideMark/>
          </w:tcPr>
          <w:p w14:paraId="35BA257D" w14:textId="77777777" w:rsidR="00063F3D" w:rsidRPr="00436AD8" w:rsidRDefault="00063F3D" w:rsidP="00191EED">
            <w:pPr>
              <w:rPr>
                <w:rFonts w:cstheme="minorHAnsi"/>
              </w:rPr>
            </w:pPr>
            <w:r w:rsidRPr="00436AD8">
              <w:rPr>
                <w:rFonts w:cstheme="minorHAnsi"/>
              </w:rPr>
              <w:t>Memorandum of Understanding</w:t>
            </w:r>
          </w:p>
        </w:tc>
      </w:tr>
      <w:tr w:rsidR="00063F3D" w:rsidRPr="00436AD8" w14:paraId="22103110" w14:textId="77777777" w:rsidTr="00191EED">
        <w:trPr>
          <w:cantSplit/>
          <w:trHeight w:val="144"/>
          <w:tblCellSpacing w:w="0" w:type="dxa"/>
        </w:trPr>
        <w:tc>
          <w:tcPr>
            <w:tcW w:w="0" w:type="auto"/>
            <w:vAlign w:val="center"/>
            <w:hideMark/>
          </w:tcPr>
          <w:p w14:paraId="5C176E8B" w14:textId="77777777" w:rsidR="00063F3D" w:rsidRPr="00436AD8" w:rsidRDefault="00063F3D" w:rsidP="00191EED">
            <w:pPr>
              <w:rPr>
                <w:rFonts w:cstheme="minorHAnsi"/>
              </w:rPr>
            </w:pPr>
            <w:r w:rsidRPr="00436AD8">
              <w:rPr>
                <w:rFonts w:cstheme="minorHAnsi"/>
              </w:rPr>
              <w:t>NFIP</w:t>
            </w:r>
          </w:p>
        </w:tc>
        <w:tc>
          <w:tcPr>
            <w:tcW w:w="0" w:type="auto"/>
            <w:vAlign w:val="center"/>
            <w:hideMark/>
          </w:tcPr>
          <w:p w14:paraId="09F89F9E" w14:textId="77777777" w:rsidR="00063F3D" w:rsidRPr="00436AD8" w:rsidRDefault="00E5154D" w:rsidP="00191EED">
            <w:pPr>
              <w:rPr>
                <w:rFonts w:cstheme="minorHAnsi"/>
              </w:rPr>
            </w:pPr>
            <w:hyperlink r:id="rId130" w:history="1">
              <w:r w:rsidR="00063F3D" w:rsidRPr="00436AD8">
                <w:rPr>
                  <w:rStyle w:val="Hyperlink"/>
                  <w:rFonts w:cstheme="minorHAnsi"/>
                </w:rPr>
                <w:t>National Flood Insurance Program</w:t>
              </w:r>
            </w:hyperlink>
            <w:r w:rsidR="00063F3D" w:rsidRPr="00436AD8">
              <w:rPr>
                <w:rFonts w:cstheme="minorHAnsi"/>
              </w:rPr>
              <w:t>. U.S. government program to allow the purchase of flood insurance from the government.</w:t>
            </w:r>
          </w:p>
        </w:tc>
      </w:tr>
      <w:tr w:rsidR="00063F3D" w:rsidRPr="00436AD8" w14:paraId="729C12A9" w14:textId="77777777" w:rsidTr="00191EED">
        <w:trPr>
          <w:cantSplit/>
          <w:trHeight w:val="144"/>
          <w:tblCellSpacing w:w="0" w:type="dxa"/>
        </w:trPr>
        <w:tc>
          <w:tcPr>
            <w:tcW w:w="0" w:type="auto"/>
            <w:vAlign w:val="center"/>
            <w:hideMark/>
          </w:tcPr>
          <w:p w14:paraId="62370349" w14:textId="77777777" w:rsidR="00063F3D" w:rsidRPr="00436AD8" w:rsidRDefault="00063F3D" w:rsidP="00191EED">
            <w:pPr>
              <w:rPr>
                <w:rFonts w:cstheme="minorHAnsi"/>
              </w:rPr>
            </w:pPr>
            <w:r w:rsidRPr="00436AD8">
              <w:rPr>
                <w:rFonts w:cstheme="minorHAnsi"/>
              </w:rPr>
              <w:t>NMLS</w:t>
            </w:r>
          </w:p>
        </w:tc>
        <w:tc>
          <w:tcPr>
            <w:tcW w:w="0" w:type="auto"/>
            <w:vAlign w:val="center"/>
            <w:hideMark/>
          </w:tcPr>
          <w:p w14:paraId="7385E481" w14:textId="77777777" w:rsidR="00063F3D" w:rsidRPr="00436AD8" w:rsidRDefault="00E5154D" w:rsidP="00191EED">
            <w:pPr>
              <w:rPr>
                <w:rFonts w:cstheme="minorHAnsi"/>
              </w:rPr>
            </w:pPr>
            <w:hyperlink r:id="rId131" w:history="1">
              <w:r w:rsidR="00063F3D" w:rsidRPr="00436AD8">
                <w:rPr>
                  <w:rStyle w:val="Hyperlink"/>
                  <w:rFonts w:cstheme="minorHAnsi"/>
                </w:rPr>
                <w:t>National Mortgage Licensing System</w:t>
              </w:r>
            </w:hyperlink>
          </w:p>
        </w:tc>
      </w:tr>
      <w:tr w:rsidR="00063F3D" w:rsidRPr="00436AD8" w14:paraId="5E33842D" w14:textId="77777777" w:rsidTr="00191EED">
        <w:trPr>
          <w:cantSplit/>
          <w:trHeight w:val="144"/>
          <w:tblCellSpacing w:w="0" w:type="dxa"/>
        </w:trPr>
        <w:tc>
          <w:tcPr>
            <w:tcW w:w="0" w:type="auto"/>
            <w:vAlign w:val="center"/>
            <w:hideMark/>
          </w:tcPr>
          <w:p w14:paraId="6884C984" w14:textId="77777777" w:rsidR="00063F3D" w:rsidRPr="00436AD8" w:rsidRDefault="00063F3D" w:rsidP="00191EED">
            <w:pPr>
              <w:rPr>
                <w:rFonts w:cstheme="minorHAnsi"/>
              </w:rPr>
            </w:pPr>
            <w:r w:rsidRPr="00436AD8">
              <w:rPr>
                <w:rFonts w:cstheme="minorHAnsi"/>
              </w:rPr>
              <w:t xml:space="preserve">OCC </w:t>
            </w:r>
          </w:p>
        </w:tc>
        <w:tc>
          <w:tcPr>
            <w:tcW w:w="0" w:type="auto"/>
            <w:vAlign w:val="center"/>
            <w:hideMark/>
          </w:tcPr>
          <w:p w14:paraId="4933AAFD" w14:textId="77777777" w:rsidR="00063F3D" w:rsidRPr="00436AD8" w:rsidRDefault="00E5154D" w:rsidP="00191EED">
            <w:pPr>
              <w:rPr>
                <w:rFonts w:cstheme="minorHAnsi"/>
              </w:rPr>
            </w:pPr>
            <w:hyperlink r:id="rId132" w:history="1">
              <w:r w:rsidR="00063F3D" w:rsidRPr="00436AD8">
                <w:rPr>
                  <w:rStyle w:val="Hyperlink"/>
                  <w:rFonts w:cstheme="minorHAnsi"/>
                </w:rPr>
                <w:t>Office of the Comptroller of the Currency</w:t>
              </w:r>
            </w:hyperlink>
            <w:r w:rsidR="00063F3D" w:rsidRPr="00436AD8">
              <w:rPr>
                <w:rFonts w:cstheme="minorHAnsi"/>
              </w:rPr>
              <w:t xml:space="preserve"> </w:t>
            </w:r>
          </w:p>
        </w:tc>
      </w:tr>
      <w:tr w:rsidR="00063F3D" w:rsidRPr="00436AD8" w14:paraId="65AA4417" w14:textId="77777777" w:rsidTr="00191EED">
        <w:trPr>
          <w:cantSplit/>
          <w:trHeight w:val="144"/>
          <w:tblCellSpacing w:w="0" w:type="dxa"/>
        </w:trPr>
        <w:tc>
          <w:tcPr>
            <w:tcW w:w="0" w:type="auto"/>
            <w:vAlign w:val="center"/>
          </w:tcPr>
          <w:p w14:paraId="79628B22" w14:textId="77777777" w:rsidR="00063F3D" w:rsidRPr="00436AD8" w:rsidRDefault="00063F3D" w:rsidP="00191EED">
            <w:pPr>
              <w:rPr>
                <w:rFonts w:cstheme="minorHAnsi"/>
              </w:rPr>
            </w:pPr>
            <w:r w:rsidRPr="00436AD8">
              <w:rPr>
                <w:rFonts w:cstheme="minorHAnsi"/>
              </w:rPr>
              <w:t>OFAC</w:t>
            </w:r>
          </w:p>
        </w:tc>
        <w:tc>
          <w:tcPr>
            <w:tcW w:w="0" w:type="auto"/>
            <w:vAlign w:val="center"/>
          </w:tcPr>
          <w:p w14:paraId="5480A0EB" w14:textId="77777777" w:rsidR="00063F3D" w:rsidRPr="00436AD8" w:rsidRDefault="00E5154D" w:rsidP="00191EED">
            <w:pPr>
              <w:rPr>
                <w:rFonts w:cstheme="minorHAnsi"/>
              </w:rPr>
            </w:pPr>
            <w:hyperlink r:id="rId133" w:history="1">
              <w:r w:rsidR="00063F3D" w:rsidRPr="00436AD8">
                <w:rPr>
                  <w:rStyle w:val="Hyperlink"/>
                  <w:rFonts w:cstheme="minorHAnsi"/>
                </w:rPr>
                <w:t>Office of Foreign Asset Control</w:t>
              </w:r>
            </w:hyperlink>
          </w:p>
        </w:tc>
      </w:tr>
      <w:tr w:rsidR="00063F3D" w:rsidRPr="00436AD8" w14:paraId="1F9354C1" w14:textId="77777777" w:rsidTr="00191EED">
        <w:trPr>
          <w:cantSplit/>
          <w:trHeight w:val="144"/>
          <w:tblCellSpacing w:w="0" w:type="dxa"/>
        </w:trPr>
        <w:tc>
          <w:tcPr>
            <w:tcW w:w="0" w:type="auto"/>
            <w:vAlign w:val="center"/>
          </w:tcPr>
          <w:p w14:paraId="500315B3" w14:textId="77777777" w:rsidR="00063F3D" w:rsidRPr="00436AD8" w:rsidRDefault="00063F3D" w:rsidP="00191EED">
            <w:pPr>
              <w:rPr>
                <w:rFonts w:cstheme="minorHAnsi"/>
              </w:rPr>
            </w:pPr>
            <w:r w:rsidRPr="00436AD8">
              <w:rPr>
                <w:rFonts w:cstheme="minorHAnsi"/>
              </w:rPr>
              <w:t>OREO</w:t>
            </w:r>
          </w:p>
        </w:tc>
        <w:tc>
          <w:tcPr>
            <w:tcW w:w="0" w:type="auto"/>
            <w:vAlign w:val="center"/>
          </w:tcPr>
          <w:p w14:paraId="21644AB9" w14:textId="77777777" w:rsidR="00063F3D" w:rsidRPr="00436AD8" w:rsidRDefault="00E5154D" w:rsidP="00191EED">
            <w:pPr>
              <w:rPr>
                <w:rFonts w:cstheme="minorHAnsi"/>
              </w:rPr>
            </w:pPr>
            <w:hyperlink r:id="rId134" w:history="1">
              <w:r w:rsidR="00063F3D" w:rsidRPr="00436AD8">
                <w:rPr>
                  <w:rStyle w:val="Hyperlink"/>
                  <w:rFonts w:cstheme="minorHAnsi"/>
                </w:rPr>
                <w:t>Other Real Estate Owned</w:t>
              </w:r>
            </w:hyperlink>
          </w:p>
        </w:tc>
      </w:tr>
      <w:tr w:rsidR="00063F3D" w:rsidRPr="00436AD8" w14:paraId="22E8DD98" w14:textId="77777777" w:rsidTr="00191EED">
        <w:trPr>
          <w:cantSplit/>
          <w:trHeight w:val="144"/>
          <w:tblCellSpacing w:w="0" w:type="dxa"/>
        </w:trPr>
        <w:tc>
          <w:tcPr>
            <w:tcW w:w="0" w:type="auto"/>
            <w:vAlign w:val="center"/>
          </w:tcPr>
          <w:p w14:paraId="722736C5" w14:textId="77777777" w:rsidR="00063F3D" w:rsidRPr="00436AD8" w:rsidRDefault="00063F3D" w:rsidP="00191EED">
            <w:pPr>
              <w:rPr>
                <w:rFonts w:cstheme="minorHAnsi"/>
              </w:rPr>
            </w:pPr>
            <w:r w:rsidRPr="00436AD8">
              <w:rPr>
                <w:rFonts w:cstheme="minorHAnsi"/>
              </w:rPr>
              <w:t>QRM</w:t>
            </w:r>
          </w:p>
        </w:tc>
        <w:tc>
          <w:tcPr>
            <w:tcW w:w="0" w:type="auto"/>
            <w:vAlign w:val="center"/>
          </w:tcPr>
          <w:p w14:paraId="656D086B" w14:textId="77777777" w:rsidR="00063F3D" w:rsidRPr="00436AD8" w:rsidRDefault="00063F3D" w:rsidP="00191EED">
            <w:pPr>
              <w:rPr>
                <w:rFonts w:cstheme="minorHAnsi"/>
              </w:rPr>
            </w:pPr>
            <w:r w:rsidRPr="00436AD8">
              <w:rPr>
                <w:rFonts w:cstheme="minorHAnsi"/>
              </w:rPr>
              <w:t>Qualified Residential Mortgage</w:t>
            </w:r>
          </w:p>
        </w:tc>
      </w:tr>
      <w:tr w:rsidR="00063F3D" w:rsidRPr="00436AD8" w14:paraId="3E385441" w14:textId="77777777" w:rsidTr="00191EED">
        <w:trPr>
          <w:cantSplit/>
          <w:trHeight w:val="144"/>
          <w:tblCellSpacing w:w="0" w:type="dxa"/>
        </w:trPr>
        <w:tc>
          <w:tcPr>
            <w:tcW w:w="0" w:type="auto"/>
            <w:vAlign w:val="center"/>
          </w:tcPr>
          <w:p w14:paraId="5A89D933" w14:textId="77777777" w:rsidR="00063F3D" w:rsidRPr="00436AD8" w:rsidRDefault="00063F3D" w:rsidP="00191EED">
            <w:pPr>
              <w:rPr>
                <w:rFonts w:cstheme="minorHAnsi"/>
              </w:rPr>
            </w:pPr>
            <w:r w:rsidRPr="00436AD8">
              <w:rPr>
                <w:rFonts w:cstheme="minorHAnsi"/>
              </w:rPr>
              <w:t>Reg. B</w:t>
            </w:r>
          </w:p>
        </w:tc>
        <w:tc>
          <w:tcPr>
            <w:tcW w:w="0" w:type="auto"/>
            <w:vAlign w:val="center"/>
          </w:tcPr>
          <w:p w14:paraId="755E5037" w14:textId="77777777" w:rsidR="00063F3D" w:rsidRPr="00436AD8" w:rsidRDefault="00E5154D" w:rsidP="00191EED">
            <w:pPr>
              <w:rPr>
                <w:rFonts w:cstheme="minorHAnsi"/>
              </w:rPr>
            </w:pPr>
            <w:hyperlink r:id="rId135" w:history="1">
              <w:r w:rsidR="00063F3D" w:rsidRPr="00436AD8">
                <w:rPr>
                  <w:rStyle w:val="Hyperlink"/>
                  <w:rFonts w:cstheme="minorHAnsi"/>
                </w:rPr>
                <w:t>Equal Credit Opportunity</w:t>
              </w:r>
            </w:hyperlink>
          </w:p>
        </w:tc>
      </w:tr>
      <w:tr w:rsidR="00063F3D" w:rsidRPr="00436AD8" w14:paraId="3A3DDAF1" w14:textId="77777777" w:rsidTr="00191EED">
        <w:trPr>
          <w:cantSplit/>
          <w:trHeight w:val="144"/>
          <w:tblCellSpacing w:w="0" w:type="dxa"/>
        </w:trPr>
        <w:tc>
          <w:tcPr>
            <w:tcW w:w="0" w:type="auto"/>
            <w:vAlign w:val="center"/>
          </w:tcPr>
          <w:p w14:paraId="12050846" w14:textId="77777777" w:rsidR="00063F3D" w:rsidRPr="00436AD8" w:rsidRDefault="00063F3D" w:rsidP="00191EED">
            <w:pPr>
              <w:rPr>
                <w:rFonts w:cstheme="minorHAnsi"/>
              </w:rPr>
            </w:pPr>
            <w:r w:rsidRPr="00436AD8">
              <w:rPr>
                <w:rFonts w:cstheme="minorHAnsi"/>
              </w:rPr>
              <w:t>Reg. C</w:t>
            </w:r>
          </w:p>
        </w:tc>
        <w:tc>
          <w:tcPr>
            <w:tcW w:w="0" w:type="auto"/>
            <w:vAlign w:val="center"/>
          </w:tcPr>
          <w:p w14:paraId="661B23EB" w14:textId="77777777" w:rsidR="00063F3D" w:rsidRPr="00436AD8" w:rsidRDefault="00E5154D" w:rsidP="00191EED">
            <w:pPr>
              <w:rPr>
                <w:rFonts w:cstheme="minorHAnsi"/>
              </w:rPr>
            </w:pPr>
            <w:hyperlink r:id="rId136" w:history="1">
              <w:r w:rsidR="00063F3D" w:rsidRPr="00436AD8">
                <w:rPr>
                  <w:rStyle w:val="Hyperlink"/>
                  <w:rFonts w:cstheme="minorHAnsi"/>
                </w:rPr>
                <w:t>Home Mortgage Disclosure</w:t>
              </w:r>
            </w:hyperlink>
          </w:p>
        </w:tc>
      </w:tr>
      <w:tr w:rsidR="00063F3D" w:rsidRPr="00436AD8" w14:paraId="02D4A76D" w14:textId="77777777" w:rsidTr="00191EED">
        <w:trPr>
          <w:cantSplit/>
          <w:trHeight w:val="144"/>
          <w:tblCellSpacing w:w="0" w:type="dxa"/>
        </w:trPr>
        <w:tc>
          <w:tcPr>
            <w:tcW w:w="0" w:type="auto"/>
            <w:vAlign w:val="center"/>
          </w:tcPr>
          <w:p w14:paraId="720530F4" w14:textId="77777777" w:rsidR="00063F3D" w:rsidRPr="00436AD8" w:rsidRDefault="00063F3D" w:rsidP="00191EED">
            <w:pPr>
              <w:rPr>
                <w:rFonts w:cstheme="minorHAnsi"/>
              </w:rPr>
            </w:pPr>
            <w:r w:rsidRPr="00436AD8">
              <w:rPr>
                <w:rFonts w:cstheme="minorHAnsi"/>
              </w:rPr>
              <w:t>Reg. DD</w:t>
            </w:r>
          </w:p>
        </w:tc>
        <w:tc>
          <w:tcPr>
            <w:tcW w:w="0" w:type="auto"/>
            <w:vAlign w:val="center"/>
          </w:tcPr>
          <w:p w14:paraId="4C3405F0" w14:textId="77777777" w:rsidR="00063F3D" w:rsidRPr="00436AD8" w:rsidRDefault="00E5154D" w:rsidP="00191EED">
            <w:pPr>
              <w:rPr>
                <w:rFonts w:cstheme="minorHAnsi"/>
              </w:rPr>
            </w:pPr>
            <w:hyperlink r:id="rId137" w:history="1">
              <w:r w:rsidR="00063F3D" w:rsidRPr="00436AD8">
                <w:rPr>
                  <w:rStyle w:val="Hyperlink"/>
                  <w:rFonts w:cstheme="minorHAnsi"/>
                </w:rPr>
                <w:t>Truth in Savings</w:t>
              </w:r>
            </w:hyperlink>
          </w:p>
        </w:tc>
      </w:tr>
      <w:tr w:rsidR="00063F3D" w:rsidRPr="00436AD8" w14:paraId="50258357" w14:textId="77777777" w:rsidTr="00191EED">
        <w:trPr>
          <w:cantSplit/>
          <w:trHeight w:val="144"/>
          <w:tblCellSpacing w:w="0" w:type="dxa"/>
        </w:trPr>
        <w:tc>
          <w:tcPr>
            <w:tcW w:w="0" w:type="auto"/>
            <w:vAlign w:val="center"/>
          </w:tcPr>
          <w:p w14:paraId="3327AEE8" w14:textId="77777777" w:rsidR="00063F3D" w:rsidRPr="00436AD8" w:rsidRDefault="00063F3D" w:rsidP="00191EED">
            <w:pPr>
              <w:rPr>
                <w:rFonts w:cstheme="minorHAnsi"/>
              </w:rPr>
            </w:pPr>
            <w:r w:rsidRPr="00436AD8">
              <w:rPr>
                <w:rFonts w:cstheme="minorHAnsi"/>
              </w:rPr>
              <w:t>Reg. E</w:t>
            </w:r>
          </w:p>
        </w:tc>
        <w:tc>
          <w:tcPr>
            <w:tcW w:w="0" w:type="auto"/>
            <w:vAlign w:val="center"/>
          </w:tcPr>
          <w:p w14:paraId="146DB781" w14:textId="77777777" w:rsidR="00063F3D" w:rsidRPr="00436AD8" w:rsidRDefault="00E5154D" w:rsidP="00191EED">
            <w:pPr>
              <w:rPr>
                <w:rFonts w:cstheme="minorHAnsi"/>
              </w:rPr>
            </w:pPr>
            <w:hyperlink r:id="rId138" w:history="1">
              <w:r w:rsidR="00063F3D" w:rsidRPr="00436AD8">
                <w:rPr>
                  <w:rStyle w:val="Hyperlink"/>
                  <w:rFonts w:cstheme="minorHAnsi"/>
                </w:rPr>
                <w:t>Electronic Fund Transfers</w:t>
              </w:r>
            </w:hyperlink>
          </w:p>
        </w:tc>
      </w:tr>
      <w:tr w:rsidR="00063F3D" w:rsidRPr="00436AD8" w14:paraId="0A39C44E" w14:textId="77777777" w:rsidTr="00191EED">
        <w:trPr>
          <w:cantSplit/>
          <w:trHeight w:val="144"/>
          <w:tblCellSpacing w:w="0" w:type="dxa"/>
        </w:trPr>
        <w:tc>
          <w:tcPr>
            <w:tcW w:w="0" w:type="auto"/>
            <w:vAlign w:val="center"/>
          </w:tcPr>
          <w:p w14:paraId="4A2C7247" w14:textId="77777777" w:rsidR="00063F3D" w:rsidRPr="00436AD8" w:rsidRDefault="00063F3D" w:rsidP="00191EED">
            <w:pPr>
              <w:rPr>
                <w:rFonts w:cstheme="minorHAnsi"/>
              </w:rPr>
            </w:pPr>
            <w:r w:rsidRPr="00436AD8">
              <w:rPr>
                <w:rFonts w:cstheme="minorHAnsi"/>
              </w:rPr>
              <w:t>Reg. G</w:t>
            </w:r>
          </w:p>
        </w:tc>
        <w:tc>
          <w:tcPr>
            <w:tcW w:w="0" w:type="auto"/>
            <w:vAlign w:val="center"/>
          </w:tcPr>
          <w:p w14:paraId="2628E72F" w14:textId="77777777" w:rsidR="00063F3D" w:rsidRPr="00436AD8" w:rsidRDefault="00E5154D" w:rsidP="00191EED">
            <w:pPr>
              <w:rPr>
                <w:rFonts w:cstheme="minorHAnsi"/>
              </w:rPr>
            </w:pPr>
            <w:hyperlink r:id="rId139" w:history="1">
              <w:r w:rsidR="00063F3D" w:rsidRPr="00436AD8">
                <w:rPr>
                  <w:rStyle w:val="Hyperlink"/>
                  <w:rFonts w:cstheme="minorHAnsi"/>
                </w:rPr>
                <w:t>S.A.F.E. Mortgage Licensing Act</w:t>
              </w:r>
            </w:hyperlink>
          </w:p>
        </w:tc>
      </w:tr>
      <w:tr w:rsidR="00063F3D" w:rsidRPr="00436AD8" w14:paraId="0A668BBF" w14:textId="77777777" w:rsidTr="00191EED">
        <w:trPr>
          <w:cantSplit/>
          <w:trHeight w:val="144"/>
          <w:tblCellSpacing w:w="0" w:type="dxa"/>
        </w:trPr>
        <w:tc>
          <w:tcPr>
            <w:tcW w:w="0" w:type="auto"/>
            <w:vAlign w:val="center"/>
          </w:tcPr>
          <w:p w14:paraId="652C89B9" w14:textId="77777777" w:rsidR="00063F3D" w:rsidRPr="00436AD8" w:rsidRDefault="00063F3D" w:rsidP="00191EED">
            <w:pPr>
              <w:rPr>
                <w:rFonts w:cstheme="minorHAnsi"/>
              </w:rPr>
            </w:pPr>
            <w:r w:rsidRPr="00436AD8">
              <w:rPr>
                <w:rFonts w:cstheme="minorHAnsi"/>
              </w:rPr>
              <w:t>Reg. P</w:t>
            </w:r>
          </w:p>
        </w:tc>
        <w:tc>
          <w:tcPr>
            <w:tcW w:w="0" w:type="auto"/>
            <w:vAlign w:val="center"/>
          </w:tcPr>
          <w:p w14:paraId="78AC708B" w14:textId="77777777" w:rsidR="00063F3D" w:rsidRPr="00436AD8" w:rsidRDefault="00E5154D" w:rsidP="00191EED">
            <w:pPr>
              <w:rPr>
                <w:rFonts w:cstheme="minorHAnsi"/>
              </w:rPr>
            </w:pPr>
            <w:hyperlink r:id="rId140" w:history="1">
              <w:r w:rsidR="00063F3D" w:rsidRPr="00436AD8">
                <w:rPr>
                  <w:rStyle w:val="Hyperlink"/>
                  <w:rFonts w:cstheme="minorHAnsi"/>
                </w:rPr>
                <w:t>Privacy of Consumer Financial Information</w:t>
              </w:r>
            </w:hyperlink>
          </w:p>
        </w:tc>
      </w:tr>
      <w:tr w:rsidR="00063F3D" w:rsidRPr="00436AD8" w14:paraId="09AE880D" w14:textId="77777777" w:rsidTr="00191EED">
        <w:trPr>
          <w:cantSplit/>
          <w:trHeight w:val="144"/>
          <w:tblCellSpacing w:w="0" w:type="dxa"/>
        </w:trPr>
        <w:tc>
          <w:tcPr>
            <w:tcW w:w="0" w:type="auto"/>
            <w:vAlign w:val="center"/>
          </w:tcPr>
          <w:p w14:paraId="1B0BCC9F" w14:textId="77777777" w:rsidR="00063F3D" w:rsidRPr="00436AD8" w:rsidRDefault="00063F3D" w:rsidP="00191EED">
            <w:pPr>
              <w:rPr>
                <w:rFonts w:cstheme="minorHAnsi"/>
              </w:rPr>
            </w:pPr>
            <w:r w:rsidRPr="00436AD8">
              <w:rPr>
                <w:rFonts w:cstheme="minorHAnsi"/>
              </w:rPr>
              <w:t>Reg. X</w:t>
            </w:r>
          </w:p>
        </w:tc>
        <w:tc>
          <w:tcPr>
            <w:tcW w:w="0" w:type="auto"/>
            <w:vAlign w:val="center"/>
          </w:tcPr>
          <w:p w14:paraId="2EB5A603" w14:textId="77777777" w:rsidR="00063F3D" w:rsidRPr="00436AD8" w:rsidRDefault="00E5154D" w:rsidP="00191EED">
            <w:pPr>
              <w:rPr>
                <w:rFonts w:cstheme="minorHAnsi"/>
              </w:rPr>
            </w:pPr>
            <w:hyperlink r:id="rId141" w:history="1">
              <w:r w:rsidR="00063F3D" w:rsidRPr="00436AD8">
                <w:rPr>
                  <w:rStyle w:val="Hyperlink"/>
                  <w:rFonts w:cstheme="minorHAnsi"/>
                </w:rPr>
                <w:t>Real Estate Settlement Procedures Act</w:t>
              </w:r>
            </w:hyperlink>
          </w:p>
        </w:tc>
      </w:tr>
      <w:tr w:rsidR="00063F3D" w:rsidRPr="00436AD8" w14:paraId="0AAB3F28" w14:textId="77777777" w:rsidTr="00191EED">
        <w:trPr>
          <w:cantSplit/>
          <w:trHeight w:val="144"/>
          <w:tblCellSpacing w:w="0" w:type="dxa"/>
        </w:trPr>
        <w:tc>
          <w:tcPr>
            <w:tcW w:w="0" w:type="auto"/>
            <w:vAlign w:val="center"/>
          </w:tcPr>
          <w:p w14:paraId="07A60EBA" w14:textId="77777777" w:rsidR="00063F3D" w:rsidRPr="00436AD8" w:rsidRDefault="00063F3D" w:rsidP="00191EED">
            <w:pPr>
              <w:rPr>
                <w:rFonts w:cstheme="minorHAnsi"/>
              </w:rPr>
            </w:pPr>
            <w:r w:rsidRPr="00436AD8">
              <w:rPr>
                <w:rFonts w:cstheme="minorHAnsi"/>
              </w:rPr>
              <w:t>Reg. Z</w:t>
            </w:r>
          </w:p>
        </w:tc>
        <w:tc>
          <w:tcPr>
            <w:tcW w:w="0" w:type="auto"/>
            <w:vAlign w:val="center"/>
          </w:tcPr>
          <w:p w14:paraId="088FAB4C" w14:textId="77777777" w:rsidR="00063F3D" w:rsidRPr="00436AD8" w:rsidRDefault="00E5154D" w:rsidP="00191EED">
            <w:pPr>
              <w:rPr>
                <w:rFonts w:cstheme="minorHAnsi"/>
              </w:rPr>
            </w:pPr>
            <w:hyperlink r:id="rId142" w:history="1">
              <w:r w:rsidR="00063F3D" w:rsidRPr="00436AD8">
                <w:rPr>
                  <w:rStyle w:val="Hyperlink"/>
                  <w:rFonts w:cstheme="minorHAnsi"/>
                </w:rPr>
                <w:t>Truth in Lending</w:t>
              </w:r>
            </w:hyperlink>
          </w:p>
        </w:tc>
      </w:tr>
      <w:tr w:rsidR="00063F3D" w:rsidRPr="00436AD8" w14:paraId="78FA6290" w14:textId="77777777" w:rsidTr="00191EED">
        <w:trPr>
          <w:cantSplit/>
          <w:trHeight w:val="144"/>
          <w:tblCellSpacing w:w="0" w:type="dxa"/>
        </w:trPr>
        <w:tc>
          <w:tcPr>
            <w:tcW w:w="0" w:type="auto"/>
            <w:vAlign w:val="center"/>
          </w:tcPr>
          <w:p w14:paraId="66A28C03" w14:textId="77777777" w:rsidR="00063F3D" w:rsidRPr="00436AD8" w:rsidRDefault="00063F3D" w:rsidP="00191EED">
            <w:pPr>
              <w:rPr>
                <w:rFonts w:cstheme="minorHAnsi"/>
              </w:rPr>
            </w:pPr>
            <w:r w:rsidRPr="00436AD8">
              <w:rPr>
                <w:rFonts w:cstheme="minorHAnsi"/>
              </w:rPr>
              <w:t>RESPA</w:t>
            </w:r>
          </w:p>
        </w:tc>
        <w:tc>
          <w:tcPr>
            <w:tcW w:w="0" w:type="auto"/>
            <w:vAlign w:val="center"/>
          </w:tcPr>
          <w:p w14:paraId="04E24EEC" w14:textId="77777777" w:rsidR="00063F3D" w:rsidRPr="00436AD8" w:rsidRDefault="00E5154D" w:rsidP="00191EED">
            <w:pPr>
              <w:rPr>
                <w:rFonts w:cstheme="minorHAnsi"/>
              </w:rPr>
            </w:pPr>
            <w:hyperlink r:id="rId143" w:history="1">
              <w:r w:rsidR="00063F3D" w:rsidRPr="00436AD8">
                <w:rPr>
                  <w:rStyle w:val="Hyperlink"/>
                  <w:rFonts w:cstheme="minorHAnsi"/>
                </w:rPr>
                <w:t>Real Estate Settlement Procedures Act</w:t>
              </w:r>
            </w:hyperlink>
          </w:p>
        </w:tc>
      </w:tr>
      <w:tr w:rsidR="00063F3D" w:rsidRPr="00436AD8" w14:paraId="20BA0316" w14:textId="77777777" w:rsidTr="00191EED">
        <w:trPr>
          <w:cantSplit/>
          <w:trHeight w:val="144"/>
          <w:tblCellSpacing w:w="0" w:type="dxa"/>
        </w:trPr>
        <w:tc>
          <w:tcPr>
            <w:tcW w:w="0" w:type="auto"/>
            <w:vAlign w:val="center"/>
          </w:tcPr>
          <w:p w14:paraId="38A41C4F" w14:textId="77777777" w:rsidR="00063F3D" w:rsidRPr="00436AD8" w:rsidRDefault="00063F3D" w:rsidP="00191EED">
            <w:pPr>
              <w:rPr>
                <w:rFonts w:cstheme="minorHAnsi"/>
              </w:rPr>
            </w:pPr>
            <w:r w:rsidRPr="00436AD8">
              <w:rPr>
                <w:rFonts w:cstheme="minorHAnsi"/>
              </w:rPr>
              <w:t>SAR</w:t>
            </w:r>
          </w:p>
        </w:tc>
        <w:tc>
          <w:tcPr>
            <w:tcW w:w="0" w:type="auto"/>
            <w:vAlign w:val="center"/>
          </w:tcPr>
          <w:p w14:paraId="0ADECF0E" w14:textId="6A57C669" w:rsidR="00063F3D" w:rsidRPr="00436AD8" w:rsidRDefault="00E5154D" w:rsidP="00191EED">
            <w:pPr>
              <w:rPr>
                <w:rFonts w:cstheme="minorHAnsi"/>
              </w:rPr>
            </w:pPr>
            <w:hyperlink r:id="rId144" w:history="1">
              <w:r w:rsidR="00063F3D" w:rsidRPr="00436AD8">
                <w:rPr>
                  <w:rStyle w:val="Hyperlink"/>
                  <w:rFonts w:cstheme="minorHAnsi"/>
                </w:rPr>
                <w:t>Suspicious Activity Report</w:t>
              </w:r>
            </w:hyperlink>
            <w:r w:rsidR="00063F3D" w:rsidRPr="00436AD8">
              <w:rPr>
                <w:rFonts w:cstheme="minorHAnsi"/>
              </w:rPr>
              <w:t xml:space="preserve"> – Report financial institutions file with the U.S. government (FinCEN) regarding activity that </w:t>
            </w:r>
            <w:r w:rsidR="00473E1B">
              <w:rPr>
                <w:rFonts w:cstheme="minorHAnsi"/>
              </w:rPr>
              <w:t xml:space="preserve">may </w:t>
            </w:r>
            <w:r w:rsidR="00063F3D" w:rsidRPr="00436AD8">
              <w:rPr>
                <w:rFonts w:cstheme="minorHAnsi"/>
              </w:rPr>
              <w:t>be criminal in nature.</w:t>
            </w:r>
          </w:p>
        </w:tc>
      </w:tr>
      <w:tr w:rsidR="00063F3D" w:rsidRPr="00436AD8" w14:paraId="482A72F1" w14:textId="77777777" w:rsidTr="00191EED">
        <w:trPr>
          <w:cantSplit/>
          <w:trHeight w:val="144"/>
          <w:tblCellSpacing w:w="0" w:type="dxa"/>
        </w:trPr>
        <w:tc>
          <w:tcPr>
            <w:tcW w:w="0" w:type="auto"/>
            <w:vAlign w:val="center"/>
          </w:tcPr>
          <w:p w14:paraId="1B1522E9" w14:textId="77777777" w:rsidR="00063F3D" w:rsidRPr="00436AD8" w:rsidRDefault="00063F3D" w:rsidP="00191EED">
            <w:pPr>
              <w:rPr>
                <w:rFonts w:cstheme="minorHAnsi"/>
              </w:rPr>
            </w:pPr>
            <w:r w:rsidRPr="00436AD8">
              <w:rPr>
                <w:rFonts w:cstheme="minorHAnsi"/>
              </w:rPr>
              <w:t>SDN</w:t>
            </w:r>
          </w:p>
        </w:tc>
        <w:tc>
          <w:tcPr>
            <w:tcW w:w="0" w:type="auto"/>
            <w:vAlign w:val="center"/>
          </w:tcPr>
          <w:p w14:paraId="14E8F5CD" w14:textId="77777777" w:rsidR="00063F3D" w:rsidRPr="00436AD8" w:rsidRDefault="00063F3D" w:rsidP="00191EED">
            <w:pPr>
              <w:rPr>
                <w:rFonts w:cstheme="minorHAnsi"/>
              </w:rPr>
            </w:pPr>
            <w:r w:rsidRPr="00436AD8">
              <w:rPr>
                <w:rFonts w:cstheme="minorHAnsi"/>
              </w:rPr>
              <w:t>Specially Designated National</w:t>
            </w:r>
          </w:p>
        </w:tc>
      </w:tr>
      <w:tr w:rsidR="00063F3D" w:rsidRPr="00436AD8" w14:paraId="1C414492" w14:textId="77777777" w:rsidTr="00191EED">
        <w:trPr>
          <w:cantSplit/>
          <w:trHeight w:val="144"/>
          <w:tblCellSpacing w:w="0" w:type="dxa"/>
        </w:trPr>
        <w:tc>
          <w:tcPr>
            <w:tcW w:w="0" w:type="auto"/>
            <w:vAlign w:val="center"/>
          </w:tcPr>
          <w:p w14:paraId="1F886D9B" w14:textId="77777777" w:rsidR="00063F3D" w:rsidRPr="00436AD8" w:rsidRDefault="00063F3D" w:rsidP="00191EED">
            <w:pPr>
              <w:rPr>
                <w:rFonts w:cstheme="minorHAnsi"/>
              </w:rPr>
            </w:pPr>
            <w:r w:rsidRPr="00436AD8">
              <w:rPr>
                <w:rFonts w:cstheme="minorHAnsi"/>
              </w:rPr>
              <w:t>TILA</w:t>
            </w:r>
          </w:p>
        </w:tc>
        <w:tc>
          <w:tcPr>
            <w:tcW w:w="0" w:type="auto"/>
            <w:vAlign w:val="center"/>
          </w:tcPr>
          <w:p w14:paraId="4FE195EB" w14:textId="77777777" w:rsidR="00063F3D" w:rsidRPr="00436AD8" w:rsidRDefault="00E5154D" w:rsidP="00191EED">
            <w:pPr>
              <w:rPr>
                <w:rFonts w:cstheme="minorHAnsi"/>
              </w:rPr>
            </w:pPr>
            <w:hyperlink r:id="rId145" w:history="1">
              <w:r w:rsidR="00063F3D" w:rsidRPr="00436AD8">
                <w:rPr>
                  <w:rStyle w:val="Hyperlink"/>
                  <w:rFonts w:cstheme="minorHAnsi"/>
                </w:rPr>
                <w:t>Truth in Lending Act</w:t>
              </w:r>
            </w:hyperlink>
          </w:p>
        </w:tc>
      </w:tr>
      <w:tr w:rsidR="00063F3D" w:rsidRPr="00436AD8" w14:paraId="65382855" w14:textId="77777777" w:rsidTr="00191EED">
        <w:trPr>
          <w:cantSplit/>
          <w:trHeight w:val="144"/>
          <w:tblCellSpacing w:w="0" w:type="dxa"/>
        </w:trPr>
        <w:tc>
          <w:tcPr>
            <w:tcW w:w="0" w:type="auto"/>
            <w:vAlign w:val="center"/>
          </w:tcPr>
          <w:p w14:paraId="0EF0539C" w14:textId="77777777" w:rsidR="00063F3D" w:rsidRPr="00436AD8" w:rsidRDefault="00063F3D" w:rsidP="00191EED">
            <w:pPr>
              <w:rPr>
                <w:rFonts w:cstheme="minorHAnsi"/>
              </w:rPr>
            </w:pPr>
            <w:r w:rsidRPr="00436AD8">
              <w:rPr>
                <w:rFonts w:cstheme="minorHAnsi"/>
              </w:rPr>
              <w:t>TIN</w:t>
            </w:r>
          </w:p>
        </w:tc>
        <w:tc>
          <w:tcPr>
            <w:tcW w:w="0" w:type="auto"/>
            <w:vAlign w:val="center"/>
          </w:tcPr>
          <w:p w14:paraId="34C42E7C" w14:textId="77777777" w:rsidR="00063F3D" w:rsidRPr="00436AD8" w:rsidRDefault="00063F3D" w:rsidP="00191EED">
            <w:pPr>
              <w:rPr>
                <w:rFonts w:cstheme="minorHAnsi"/>
              </w:rPr>
            </w:pPr>
            <w:r w:rsidRPr="00436AD8">
              <w:rPr>
                <w:rFonts w:cstheme="minorHAnsi"/>
              </w:rPr>
              <w:t>Tax Identification Number</w:t>
            </w:r>
          </w:p>
        </w:tc>
      </w:tr>
      <w:tr w:rsidR="00063F3D" w:rsidRPr="00436AD8" w14:paraId="57F09984" w14:textId="77777777" w:rsidTr="00191EED">
        <w:trPr>
          <w:cantSplit/>
          <w:trHeight w:val="144"/>
          <w:tblCellSpacing w:w="0" w:type="dxa"/>
        </w:trPr>
        <w:tc>
          <w:tcPr>
            <w:tcW w:w="0" w:type="auto"/>
            <w:vAlign w:val="center"/>
          </w:tcPr>
          <w:p w14:paraId="60C873FF" w14:textId="77777777" w:rsidR="00063F3D" w:rsidRPr="00436AD8" w:rsidRDefault="00063F3D" w:rsidP="00191EED">
            <w:pPr>
              <w:rPr>
                <w:rFonts w:cstheme="minorHAnsi"/>
              </w:rPr>
            </w:pPr>
            <w:r w:rsidRPr="00436AD8">
              <w:rPr>
                <w:rFonts w:cstheme="minorHAnsi"/>
              </w:rPr>
              <w:t>Treasury</w:t>
            </w:r>
          </w:p>
        </w:tc>
        <w:tc>
          <w:tcPr>
            <w:tcW w:w="0" w:type="auto"/>
            <w:vAlign w:val="center"/>
          </w:tcPr>
          <w:p w14:paraId="0516D4DB" w14:textId="77777777" w:rsidR="00063F3D" w:rsidRPr="00436AD8" w:rsidRDefault="00E5154D" w:rsidP="00191EED">
            <w:pPr>
              <w:rPr>
                <w:rFonts w:cstheme="minorHAnsi"/>
              </w:rPr>
            </w:pPr>
            <w:hyperlink r:id="rId146" w:history="1">
              <w:r w:rsidR="00063F3D" w:rsidRPr="00436AD8">
                <w:rPr>
                  <w:rStyle w:val="Hyperlink"/>
                  <w:rFonts w:cstheme="minorHAnsi"/>
                </w:rPr>
                <w:t>U.S. Department of Treasury</w:t>
              </w:r>
            </w:hyperlink>
          </w:p>
        </w:tc>
      </w:tr>
    </w:tbl>
    <w:p w14:paraId="443E537D" w14:textId="77777777" w:rsidR="00063F3D" w:rsidRPr="00436AD8" w:rsidRDefault="00063F3D" w:rsidP="00063F3D">
      <w:pPr>
        <w:rPr>
          <w:rFonts w:cstheme="minorHAnsi"/>
          <w:b/>
        </w:rPr>
        <w:sectPr w:rsidR="00063F3D" w:rsidRPr="00436AD8" w:rsidSect="00EC6BE7">
          <w:footerReference w:type="first" r:id="rId147"/>
          <w:type w:val="continuous"/>
          <w:pgSz w:w="12240" w:h="15840"/>
          <w:pgMar w:top="720" w:right="720" w:bottom="720" w:left="720" w:header="720" w:footer="432" w:gutter="0"/>
          <w:cols w:num="2" w:space="720"/>
          <w:titlePg/>
          <w:docGrid w:linePitch="360"/>
        </w:sectPr>
      </w:pPr>
    </w:p>
    <w:p w14:paraId="51774D59" w14:textId="77777777" w:rsidR="008B1789" w:rsidRDefault="008B1789" w:rsidP="008B1789">
      <w:pPr>
        <w:autoSpaceDE w:val="0"/>
        <w:autoSpaceDN w:val="0"/>
        <w:adjustRightInd w:val="0"/>
        <w:rPr>
          <w:rFonts w:ascii="Georgia" w:hAnsi="Georgia"/>
          <w:sz w:val="16"/>
          <w:szCs w:val="18"/>
        </w:rPr>
      </w:pPr>
      <w:r>
        <w:rPr>
          <w:rFonts w:ascii="Georgia" w:hAnsi="Georgia"/>
          <w:sz w:val="16"/>
          <w:szCs w:val="18"/>
        </w:rPr>
        <w:t xml:space="preserve">This publication is designed to provide accurate and authoritative information </w:t>
      </w:r>
      <w:proofErr w:type="gramStart"/>
      <w:r>
        <w:rPr>
          <w:rFonts w:ascii="Georgia" w:hAnsi="Georgia"/>
          <w:sz w:val="16"/>
          <w:szCs w:val="18"/>
        </w:rPr>
        <w:t>in regard to</w:t>
      </w:r>
      <w:proofErr w:type="gramEnd"/>
      <w:r>
        <w:rPr>
          <w:rFonts w:ascii="Georgia" w:hAnsi="Georgia"/>
          <w:sz w:val="16"/>
          <w:szCs w:val="18"/>
        </w:rPr>
        <w:t xml:space="preserve"> the subject matter covered. It is provided with the understanding that the publisher is not engaged in the rendering of legal, accounting or other professional advice - from a Declaration of Principles adopted by the American Bar Association and a Committee of Publishers and Associations; All rights reserved; Kelly Goulart Editor; Okl</w:t>
      </w:r>
      <w:bookmarkStart w:id="72" w:name="_GoBack"/>
      <w:bookmarkEnd w:id="72"/>
      <w:r>
        <w:rPr>
          <w:rFonts w:ascii="Georgia" w:hAnsi="Georgia"/>
          <w:sz w:val="16"/>
          <w:szCs w:val="18"/>
        </w:rPr>
        <w:t>ahoma Edition, copyrighted by Craig Buford, CBAO President and CEO.</w:t>
      </w:r>
    </w:p>
    <w:p w14:paraId="68DF3229" w14:textId="77777777" w:rsidR="008B1789" w:rsidRDefault="008B1789" w:rsidP="008B1789">
      <w:pPr>
        <w:autoSpaceDE w:val="0"/>
        <w:autoSpaceDN w:val="0"/>
        <w:adjustRightInd w:val="0"/>
        <w:rPr>
          <w:rFonts w:ascii="Georgia" w:hAnsi="Georgia"/>
          <w:sz w:val="16"/>
          <w:szCs w:val="18"/>
        </w:rPr>
      </w:pPr>
      <w:r>
        <w:rPr>
          <w:rFonts w:ascii="Georgia" w:hAnsi="Georgia"/>
          <w:sz w:val="16"/>
          <w:szCs w:val="18"/>
        </w:rPr>
        <w:t>Capitol Comments</w:t>
      </w:r>
    </w:p>
    <w:p w14:paraId="55943F23" w14:textId="77777777" w:rsidR="008B1789" w:rsidRDefault="008B1789" w:rsidP="008B1789">
      <w:pPr>
        <w:autoSpaceDE w:val="0"/>
        <w:autoSpaceDN w:val="0"/>
        <w:adjustRightInd w:val="0"/>
        <w:rPr>
          <w:rFonts w:ascii="Georgia" w:hAnsi="Georgia"/>
          <w:sz w:val="16"/>
          <w:szCs w:val="18"/>
        </w:rPr>
      </w:pPr>
      <w:r>
        <w:rPr>
          <w:rFonts w:ascii="Georgia" w:hAnsi="Georgia"/>
          <w:sz w:val="16"/>
          <w:szCs w:val="18"/>
        </w:rPr>
        <w:t>Craig Buford, CAE</w:t>
      </w:r>
    </w:p>
    <w:p w14:paraId="3346FF4D" w14:textId="77777777" w:rsidR="008B1789" w:rsidRDefault="008B1789" w:rsidP="008B1789">
      <w:pPr>
        <w:autoSpaceDE w:val="0"/>
        <w:autoSpaceDN w:val="0"/>
        <w:adjustRightInd w:val="0"/>
        <w:rPr>
          <w:rFonts w:ascii="Georgia" w:hAnsi="Georgia"/>
          <w:sz w:val="16"/>
          <w:szCs w:val="18"/>
        </w:rPr>
      </w:pPr>
      <w:r>
        <w:rPr>
          <w:rFonts w:ascii="Georgia" w:hAnsi="Georgia"/>
          <w:sz w:val="16"/>
          <w:szCs w:val="18"/>
        </w:rPr>
        <w:t>President and CEO</w:t>
      </w:r>
    </w:p>
    <w:p w14:paraId="45BD01CB" w14:textId="77777777" w:rsidR="008B1789" w:rsidRDefault="008B1789" w:rsidP="008B1789">
      <w:pPr>
        <w:autoSpaceDE w:val="0"/>
        <w:autoSpaceDN w:val="0"/>
        <w:adjustRightInd w:val="0"/>
        <w:rPr>
          <w:rFonts w:ascii="Georgia" w:hAnsi="Georgia"/>
          <w:sz w:val="16"/>
          <w:szCs w:val="18"/>
        </w:rPr>
      </w:pPr>
      <w:r>
        <w:rPr>
          <w:rFonts w:ascii="Georgia" w:hAnsi="Georgia"/>
          <w:sz w:val="16"/>
          <w:szCs w:val="18"/>
        </w:rPr>
        <w:t>Community Bankers Association of Oklahoma</w:t>
      </w:r>
    </w:p>
    <w:p w14:paraId="7EFA93E5" w14:textId="77777777" w:rsidR="008B1789" w:rsidRDefault="008B1789" w:rsidP="008B1789">
      <w:pPr>
        <w:autoSpaceDE w:val="0"/>
        <w:autoSpaceDN w:val="0"/>
        <w:adjustRightInd w:val="0"/>
        <w:rPr>
          <w:rFonts w:ascii="Georgia" w:hAnsi="Georgia"/>
          <w:sz w:val="16"/>
          <w:szCs w:val="18"/>
        </w:rPr>
      </w:pPr>
      <w:r>
        <w:rPr>
          <w:rFonts w:ascii="Georgia" w:hAnsi="Georgia"/>
          <w:sz w:val="16"/>
          <w:szCs w:val="18"/>
        </w:rPr>
        <w:t>9220 North Kelley</w:t>
      </w:r>
    </w:p>
    <w:p w14:paraId="6E08BF82" w14:textId="77777777" w:rsidR="008B1789" w:rsidRDefault="008B1789" w:rsidP="008B1789">
      <w:pPr>
        <w:autoSpaceDE w:val="0"/>
        <w:autoSpaceDN w:val="0"/>
        <w:adjustRightInd w:val="0"/>
        <w:rPr>
          <w:rFonts w:ascii="Georgia" w:hAnsi="Georgia"/>
          <w:sz w:val="16"/>
          <w:szCs w:val="18"/>
        </w:rPr>
      </w:pPr>
      <w:r>
        <w:rPr>
          <w:rFonts w:ascii="Georgia" w:hAnsi="Georgia"/>
          <w:sz w:val="16"/>
          <w:szCs w:val="18"/>
        </w:rPr>
        <w:t>Oklahoma City, OK 73131</w:t>
      </w:r>
    </w:p>
    <w:p w14:paraId="60A7E03A" w14:textId="77777777" w:rsidR="008B1789" w:rsidRDefault="008B1789" w:rsidP="008B1789">
      <w:pPr>
        <w:autoSpaceDE w:val="0"/>
        <w:autoSpaceDN w:val="0"/>
        <w:adjustRightInd w:val="0"/>
        <w:rPr>
          <w:rFonts w:ascii="Georgia" w:hAnsi="Georgia"/>
          <w:sz w:val="16"/>
          <w:szCs w:val="18"/>
        </w:rPr>
      </w:pPr>
      <w:r>
        <w:rPr>
          <w:rFonts w:ascii="Georgia" w:hAnsi="Georgia"/>
          <w:sz w:val="16"/>
          <w:szCs w:val="18"/>
        </w:rPr>
        <w:t>Office: 405-524-4122</w:t>
      </w:r>
    </w:p>
    <w:p w14:paraId="5529DC1B" w14:textId="77777777" w:rsidR="00063F3D" w:rsidRPr="008775F8" w:rsidRDefault="00063F3D" w:rsidP="008B1789">
      <w:pPr>
        <w:autoSpaceDE w:val="0"/>
        <w:autoSpaceDN w:val="0"/>
        <w:adjustRightInd w:val="0"/>
        <w:rPr>
          <w:rFonts w:cstheme="minorHAnsi"/>
          <w:sz w:val="16"/>
          <w:szCs w:val="16"/>
        </w:rPr>
      </w:pPr>
    </w:p>
    <w:sectPr w:rsidR="00063F3D" w:rsidRPr="008775F8" w:rsidSect="00063F3D">
      <w:footerReference w:type="first" r:id="rId148"/>
      <w:type w:val="continuous"/>
      <w:pgSz w:w="12240" w:h="15840" w:code="1"/>
      <w:pgMar w:top="720" w:right="720" w:bottom="864"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1AB9E7" w14:textId="77777777" w:rsidR="00E5154D" w:rsidRDefault="00E5154D" w:rsidP="005E2416">
      <w:r>
        <w:separator/>
      </w:r>
    </w:p>
  </w:endnote>
  <w:endnote w:type="continuationSeparator" w:id="0">
    <w:p w14:paraId="7D748DB9" w14:textId="77777777" w:rsidR="00E5154D" w:rsidRDefault="00E5154D" w:rsidP="005E2416">
      <w:r>
        <w:continuationSeparator/>
      </w:r>
    </w:p>
  </w:endnote>
  <w:endnote w:type="continuationNotice" w:id="1">
    <w:p w14:paraId="45834619" w14:textId="77777777" w:rsidR="00E5154D" w:rsidRDefault="00E515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ITC Avant Garde Gothic">
    <w:altName w:val="Calibri"/>
    <w:charset w:val="00"/>
    <w:family w:val="swiss"/>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ITC Avant Garde Gothic Demi">
    <w:altName w:val="Calibri"/>
    <w:charset w:val="00"/>
    <w:family w:val="swiss"/>
    <w:pitch w:val="variable"/>
    <w:sig w:usb0="00000007" w:usb1="00000000" w:usb2="00000000" w:usb3="00000000" w:csb0="00000093"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AEB73" w14:textId="0D1082AD" w:rsidR="0077145F" w:rsidRPr="00436AD8" w:rsidRDefault="0077145F" w:rsidP="005E2416">
    <w:pPr>
      <w:pStyle w:val="Footer"/>
      <w:tabs>
        <w:tab w:val="clear" w:pos="4680"/>
        <w:tab w:val="clear" w:pos="9360"/>
        <w:tab w:val="center" w:pos="5400"/>
        <w:tab w:val="right" w:pos="10800"/>
      </w:tabs>
      <w:rPr>
        <w:rFonts w:cstheme="minorHAnsi"/>
        <w:b/>
        <w:color w:val="1F497D" w:themeColor="text2"/>
      </w:rPr>
    </w:pPr>
    <w:r w:rsidRPr="00436AD8">
      <w:rPr>
        <w:rFonts w:cstheme="minorHAnsi"/>
        <w:b/>
        <w:color w:val="1F497D" w:themeColor="text2"/>
      </w:rPr>
      <w:t>Capitol Comments</w:t>
    </w:r>
    <w:r w:rsidRPr="00436AD8">
      <w:rPr>
        <w:rFonts w:cstheme="minorHAnsi"/>
        <w:b/>
        <w:color w:val="1F497D" w:themeColor="text2"/>
      </w:rPr>
      <w:tab/>
    </w:r>
    <w:r>
      <w:rPr>
        <w:rFonts w:cstheme="minorHAnsi"/>
        <w:b/>
        <w:color w:val="1F497D" w:themeColor="text2"/>
      </w:rPr>
      <w:t>October</w:t>
    </w:r>
    <w:r w:rsidRPr="00436AD8">
      <w:rPr>
        <w:rFonts w:cstheme="minorHAnsi"/>
        <w:b/>
        <w:color w:val="1F497D" w:themeColor="text2"/>
      </w:rPr>
      <w:t xml:space="preserve"> </w:t>
    </w:r>
    <w:r>
      <w:rPr>
        <w:rFonts w:cstheme="minorHAnsi"/>
        <w:b/>
        <w:color w:val="1F497D" w:themeColor="text2"/>
      </w:rPr>
      <w:t>2019</w:t>
    </w:r>
    <w:r w:rsidRPr="00436AD8">
      <w:rPr>
        <w:rFonts w:cstheme="minorHAnsi"/>
        <w:b/>
        <w:color w:val="1F497D" w:themeColor="text2"/>
      </w:rPr>
      <w:tab/>
      <w:t xml:space="preserve">Page </w:t>
    </w:r>
    <w:r w:rsidRPr="00436AD8">
      <w:rPr>
        <w:rFonts w:cstheme="minorHAnsi"/>
        <w:b/>
        <w:color w:val="1F497D" w:themeColor="text2"/>
      </w:rPr>
      <w:fldChar w:fldCharType="begin"/>
    </w:r>
    <w:r w:rsidRPr="00436AD8">
      <w:rPr>
        <w:rFonts w:cstheme="minorHAnsi"/>
        <w:b/>
        <w:color w:val="1F497D" w:themeColor="text2"/>
      </w:rPr>
      <w:instrText xml:space="preserve"> PAGE   \* MERGEFORMAT </w:instrText>
    </w:r>
    <w:r w:rsidRPr="00436AD8">
      <w:rPr>
        <w:rFonts w:cstheme="minorHAnsi"/>
        <w:b/>
        <w:color w:val="1F497D" w:themeColor="text2"/>
      </w:rPr>
      <w:fldChar w:fldCharType="separate"/>
    </w:r>
    <w:r>
      <w:rPr>
        <w:rFonts w:cstheme="minorHAnsi"/>
        <w:b/>
        <w:noProof/>
        <w:color w:val="1F497D" w:themeColor="text2"/>
      </w:rPr>
      <w:t>14</w:t>
    </w:r>
    <w:r w:rsidRPr="00436AD8">
      <w:rPr>
        <w:rFonts w:cstheme="minorHAnsi"/>
        <w:b/>
        <w:color w:val="1F497D" w:themeColor="text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2F2D9" w14:textId="77777777" w:rsidR="0077145F" w:rsidRDefault="0077145F" w:rsidP="00B72C70">
    <w:pPr>
      <w:pStyle w:val="Footer"/>
      <w:tabs>
        <w:tab w:val="clear" w:pos="4680"/>
        <w:tab w:val="clear" w:pos="9360"/>
        <w:tab w:val="center" w:pos="5400"/>
        <w:tab w:val="right" w:pos="10800"/>
      </w:tabs>
      <w:rPr>
        <w:rFonts w:ascii="ITC Avant Garde Gothic Demi" w:hAnsi="ITC Avant Garde Gothic Demi"/>
        <w:color w:val="03653F"/>
      </w:rPr>
    </w:pPr>
  </w:p>
  <w:p w14:paraId="492B4C44" w14:textId="77777777" w:rsidR="0077145F" w:rsidRPr="005E2416" w:rsidRDefault="0077145F" w:rsidP="00B72C70">
    <w:pPr>
      <w:pStyle w:val="Footer"/>
      <w:tabs>
        <w:tab w:val="clear" w:pos="4680"/>
        <w:tab w:val="clear" w:pos="9360"/>
        <w:tab w:val="center" w:pos="5400"/>
        <w:tab w:val="right" w:pos="10800"/>
      </w:tabs>
      <w:rPr>
        <w:rFonts w:ascii="ITC Avant Garde Gothic Demi" w:hAnsi="ITC Avant Garde Gothic Demi"/>
        <w:color w:val="03653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F72AB" w14:textId="77777777" w:rsidR="0077145F" w:rsidRDefault="0077145F" w:rsidP="00B72C70">
    <w:pPr>
      <w:pStyle w:val="Footer"/>
      <w:tabs>
        <w:tab w:val="clear" w:pos="4680"/>
        <w:tab w:val="clear" w:pos="9360"/>
        <w:tab w:val="center" w:pos="5400"/>
        <w:tab w:val="right" w:pos="10800"/>
      </w:tabs>
      <w:rPr>
        <w:rFonts w:ascii="ITC Avant Garde Gothic Demi" w:hAnsi="ITC Avant Garde Gothic Demi"/>
        <w:color w:val="03653F"/>
      </w:rPr>
    </w:pPr>
  </w:p>
  <w:p w14:paraId="28DF10B2" w14:textId="612539B3" w:rsidR="0077145F" w:rsidRPr="005E2416" w:rsidRDefault="0077145F" w:rsidP="00B72C70">
    <w:pPr>
      <w:pStyle w:val="Footer"/>
      <w:tabs>
        <w:tab w:val="clear" w:pos="4680"/>
        <w:tab w:val="clear" w:pos="9360"/>
        <w:tab w:val="center" w:pos="5400"/>
        <w:tab w:val="right" w:pos="10800"/>
      </w:tabs>
      <w:rPr>
        <w:rFonts w:ascii="ITC Avant Garde Gothic Demi" w:hAnsi="ITC Avant Garde Gothic Demi"/>
        <w:color w:val="03653F"/>
      </w:rPr>
    </w:pPr>
    <w:r w:rsidRPr="005E2416">
      <w:rPr>
        <w:rFonts w:ascii="ITC Avant Garde Gothic Demi" w:hAnsi="ITC Avant Garde Gothic Demi"/>
        <w:color w:val="03653F"/>
      </w:rPr>
      <w:t>Capitol</w:t>
    </w:r>
    <w:r>
      <w:rPr>
        <w:rFonts w:ascii="ITC Avant Garde Gothic Demi" w:hAnsi="ITC Avant Garde Gothic Demi"/>
        <w:color w:val="03653F"/>
      </w:rPr>
      <w:t xml:space="preserve"> </w:t>
    </w:r>
    <w:r w:rsidRPr="005E2416">
      <w:rPr>
        <w:rFonts w:ascii="ITC Avant Garde Gothic Demi" w:hAnsi="ITC Avant Garde Gothic Demi"/>
        <w:color w:val="03653F"/>
      </w:rPr>
      <w:t>Comments</w:t>
    </w:r>
    <w:r w:rsidRPr="005E2416">
      <w:rPr>
        <w:rFonts w:ascii="ITC Avant Garde Gothic Demi" w:hAnsi="ITC Avant Garde Gothic Demi"/>
        <w:color w:val="03653F"/>
      </w:rPr>
      <w:tab/>
    </w:r>
    <w:r>
      <w:rPr>
        <w:rFonts w:ascii="ITC Avant Garde Gothic Demi" w:hAnsi="ITC Avant Garde Gothic Demi"/>
        <w:color w:val="03653F"/>
      </w:rPr>
      <w:t>June 2015</w:t>
    </w:r>
    <w:r w:rsidRPr="005E2416">
      <w:rPr>
        <w:rFonts w:ascii="ITC Avant Garde Gothic Demi" w:hAnsi="ITC Avant Garde Gothic Demi"/>
        <w:color w:val="03653F"/>
      </w:rPr>
      <w:tab/>
      <w:t>Page</w:t>
    </w:r>
    <w:r>
      <w:rPr>
        <w:rFonts w:ascii="ITC Avant Garde Gothic Demi" w:hAnsi="ITC Avant Garde Gothic Demi"/>
        <w:color w:val="03653F"/>
      </w:rPr>
      <w:t xml:space="preserve"> </w:t>
    </w:r>
    <w:r w:rsidRPr="005E2416">
      <w:rPr>
        <w:rFonts w:ascii="ITC Avant Garde Gothic Demi" w:hAnsi="ITC Avant Garde Gothic Demi"/>
        <w:color w:val="03653F"/>
      </w:rPr>
      <w:fldChar w:fldCharType="begin"/>
    </w:r>
    <w:r w:rsidRPr="005E2416">
      <w:rPr>
        <w:rFonts w:ascii="ITC Avant Garde Gothic Demi" w:hAnsi="ITC Avant Garde Gothic Demi"/>
        <w:color w:val="03653F"/>
      </w:rPr>
      <w:instrText xml:space="preserve"> PAGE   \* MERGEFORMAT </w:instrText>
    </w:r>
    <w:r w:rsidRPr="005E2416">
      <w:rPr>
        <w:rFonts w:ascii="ITC Avant Garde Gothic Demi" w:hAnsi="ITC Avant Garde Gothic Demi"/>
        <w:color w:val="03653F"/>
      </w:rPr>
      <w:fldChar w:fldCharType="separate"/>
    </w:r>
    <w:r>
      <w:rPr>
        <w:rFonts w:ascii="ITC Avant Garde Gothic Demi" w:hAnsi="ITC Avant Garde Gothic Demi"/>
        <w:noProof/>
        <w:color w:val="03653F"/>
      </w:rPr>
      <w:t>20</w:t>
    </w:r>
    <w:r w:rsidRPr="005E2416">
      <w:rPr>
        <w:rFonts w:ascii="ITC Avant Garde Gothic Demi" w:hAnsi="ITC Avant Garde Gothic Demi"/>
        <w:color w:val="03653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117C0" w14:textId="77777777" w:rsidR="0077145F" w:rsidRDefault="0077145F" w:rsidP="00B72C70">
    <w:pPr>
      <w:pStyle w:val="Footer"/>
      <w:tabs>
        <w:tab w:val="clear" w:pos="4680"/>
        <w:tab w:val="clear" w:pos="9360"/>
        <w:tab w:val="center" w:pos="5400"/>
        <w:tab w:val="right" w:pos="10800"/>
      </w:tabs>
      <w:rPr>
        <w:rFonts w:ascii="ITC Avant Garde Gothic Demi" w:hAnsi="ITC Avant Garde Gothic Demi"/>
        <w:color w:val="03653F"/>
      </w:rPr>
    </w:pPr>
  </w:p>
  <w:p w14:paraId="6158E874" w14:textId="29C0D606" w:rsidR="0077145F" w:rsidRPr="005E2416" w:rsidRDefault="0077145F" w:rsidP="00B72C70">
    <w:pPr>
      <w:pStyle w:val="Footer"/>
      <w:tabs>
        <w:tab w:val="clear" w:pos="4680"/>
        <w:tab w:val="clear" w:pos="9360"/>
        <w:tab w:val="center" w:pos="5400"/>
        <w:tab w:val="right" w:pos="10800"/>
      </w:tabs>
      <w:rPr>
        <w:rFonts w:ascii="ITC Avant Garde Gothic Demi" w:hAnsi="ITC Avant Garde Gothic Demi"/>
        <w:color w:val="03653F"/>
      </w:rPr>
    </w:pPr>
    <w:r w:rsidRPr="005E2416">
      <w:rPr>
        <w:rFonts w:ascii="ITC Avant Garde Gothic Demi" w:hAnsi="ITC Avant Garde Gothic Demi"/>
        <w:color w:val="03653F"/>
      </w:rPr>
      <w:t>Capitol</w:t>
    </w:r>
    <w:r>
      <w:rPr>
        <w:rFonts w:ascii="ITC Avant Garde Gothic Demi" w:hAnsi="ITC Avant Garde Gothic Demi"/>
        <w:color w:val="03653F"/>
      </w:rPr>
      <w:t xml:space="preserve"> </w:t>
    </w:r>
    <w:r w:rsidRPr="005E2416">
      <w:rPr>
        <w:rFonts w:ascii="ITC Avant Garde Gothic Demi" w:hAnsi="ITC Avant Garde Gothic Demi"/>
        <w:color w:val="03653F"/>
      </w:rPr>
      <w:t>Comments</w:t>
    </w:r>
    <w:r w:rsidRPr="005E2416">
      <w:rPr>
        <w:rFonts w:ascii="ITC Avant Garde Gothic Demi" w:hAnsi="ITC Avant Garde Gothic Demi"/>
        <w:color w:val="03653F"/>
      </w:rPr>
      <w:tab/>
    </w:r>
    <w:r>
      <w:rPr>
        <w:rFonts w:ascii="ITC Avant Garde Gothic Demi" w:hAnsi="ITC Avant Garde Gothic Demi"/>
        <w:color w:val="03653F"/>
      </w:rPr>
      <w:t>June 2015</w:t>
    </w:r>
    <w:r w:rsidRPr="005E2416">
      <w:rPr>
        <w:rFonts w:ascii="ITC Avant Garde Gothic Demi" w:hAnsi="ITC Avant Garde Gothic Demi"/>
        <w:color w:val="03653F"/>
      </w:rPr>
      <w:tab/>
      <w:t>Page</w:t>
    </w:r>
    <w:r>
      <w:rPr>
        <w:rFonts w:ascii="ITC Avant Garde Gothic Demi" w:hAnsi="ITC Avant Garde Gothic Demi"/>
        <w:color w:val="03653F"/>
      </w:rPr>
      <w:t xml:space="preserve"> </w:t>
    </w:r>
    <w:r w:rsidRPr="005E2416">
      <w:rPr>
        <w:rFonts w:ascii="ITC Avant Garde Gothic Demi" w:hAnsi="ITC Avant Garde Gothic Demi"/>
        <w:color w:val="03653F"/>
      </w:rPr>
      <w:fldChar w:fldCharType="begin"/>
    </w:r>
    <w:r w:rsidRPr="005E2416">
      <w:rPr>
        <w:rFonts w:ascii="ITC Avant Garde Gothic Demi" w:hAnsi="ITC Avant Garde Gothic Demi"/>
        <w:color w:val="03653F"/>
      </w:rPr>
      <w:instrText xml:space="preserve"> PAGE   \* MERGEFORMAT </w:instrText>
    </w:r>
    <w:r w:rsidRPr="005E2416">
      <w:rPr>
        <w:rFonts w:ascii="ITC Avant Garde Gothic Demi" w:hAnsi="ITC Avant Garde Gothic Demi"/>
        <w:color w:val="03653F"/>
      </w:rPr>
      <w:fldChar w:fldCharType="separate"/>
    </w:r>
    <w:r>
      <w:rPr>
        <w:rFonts w:ascii="ITC Avant Garde Gothic Demi" w:hAnsi="ITC Avant Garde Gothic Demi"/>
        <w:noProof/>
        <w:color w:val="03653F"/>
      </w:rPr>
      <w:t>21</w:t>
    </w:r>
    <w:r w:rsidRPr="005E2416">
      <w:rPr>
        <w:rFonts w:ascii="ITC Avant Garde Gothic Demi" w:hAnsi="ITC Avant Garde Gothic Demi"/>
        <w:color w:val="03653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595198" w14:textId="77777777" w:rsidR="00E5154D" w:rsidRDefault="00E5154D" w:rsidP="005E2416">
      <w:r>
        <w:separator/>
      </w:r>
    </w:p>
  </w:footnote>
  <w:footnote w:type="continuationSeparator" w:id="0">
    <w:p w14:paraId="47CE3BDF" w14:textId="77777777" w:rsidR="00E5154D" w:rsidRDefault="00E5154D" w:rsidP="005E2416">
      <w:r>
        <w:continuationSeparator/>
      </w:r>
    </w:p>
  </w:footnote>
  <w:footnote w:type="continuationNotice" w:id="1">
    <w:p w14:paraId="7E817B88" w14:textId="77777777" w:rsidR="00E5154D" w:rsidRDefault="00E5154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B3348"/>
    <w:multiLevelType w:val="hybridMultilevel"/>
    <w:tmpl w:val="5244563C"/>
    <w:lvl w:ilvl="0" w:tplc="FD6A6F46">
      <w:numFmt w:val="bullet"/>
      <w:lvlText w:val="•"/>
      <w:lvlJc w:val="left"/>
      <w:pPr>
        <w:ind w:left="1080" w:hanging="360"/>
      </w:pPr>
      <w:rPr>
        <w:rFonts w:ascii="Calibri" w:eastAsia="Calibri" w:hAnsi="Calibri"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2C2D9D"/>
    <w:multiLevelType w:val="hybridMultilevel"/>
    <w:tmpl w:val="4AD8B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805A4"/>
    <w:multiLevelType w:val="hybridMultilevel"/>
    <w:tmpl w:val="2C701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787084"/>
    <w:multiLevelType w:val="hybridMultilevel"/>
    <w:tmpl w:val="7D9A1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8B1C7F"/>
    <w:multiLevelType w:val="hybridMultilevel"/>
    <w:tmpl w:val="CCFED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456DFD"/>
    <w:multiLevelType w:val="hybridMultilevel"/>
    <w:tmpl w:val="8662D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C47890"/>
    <w:multiLevelType w:val="hybridMultilevel"/>
    <w:tmpl w:val="E604B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436FE8"/>
    <w:multiLevelType w:val="multilevel"/>
    <w:tmpl w:val="C71AD750"/>
    <w:lvl w:ilvl="0">
      <w:start w:val="1"/>
      <w:numFmt w:val="bullet"/>
      <w:pStyle w:val="CC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CB04E06"/>
    <w:multiLevelType w:val="hybridMultilevel"/>
    <w:tmpl w:val="17184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90485E"/>
    <w:multiLevelType w:val="hybridMultilevel"/>
    <w:tmpl w:val="0E068246"/>
    <w:lvl w:ilvl="0" w:tplc="6890D3DA">
      <w:numFmt w:val="bullet"/>
      <w:lvlText w:val="•"/>
      <w:lvlJc w:val="left"/>
      <w:pPr>
        <w:ind w:left="720" w:hanging="360"/>
      </w:pPr>
      <w:rPr>
        <w:rFonts w:ascii="Calibri" w:eastAsia="Calibr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382D53"/>
    <w:multiLevelType w:val="hybridMultilevel"/>
    <w:tmpl w:val="F5FA2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C338BF"/>
    <w:multiLevelType w:val="hybridMultilevel"/>
    <w:tmpl w:val="87148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3472D0"/>
    <w:multiLevelType w:val="hybridMultilevel"/>
    <w:tmpl w:val="B7D63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446527"/>
    <w:multiLevelType w:val="hybridMultilevel"/>
    <w:tmpl w:val="CFBAB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B46AEE"/>
    <w:multiLevelType w:val="hybridMultilevel"/>
    <w:tmpl w:val="0D2E1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66654F"/>
    <w:multiLevelType w:val="hybridMultilevel"/>
    <w:tmpl w:val="BC685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FD3A1F"/>
    <w:multiLevelType w:val="hybridMultilevel"/>
    <w:tmpl w:val="D9B82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2265B8"/>
    <w:multiLevelType w:val="hybridMultilevel"/>
    <w:tmpl w:val="3A80C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48789E"/>
    <w:multiLevelType w:val="hybridMultilevel"/>
    <w:tmpl w:val="3774D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B5471B"/>
    <w:multiLevelType w:val="hybridMultilevel"/>
    <w:tmpl w:val="2BCED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3E61B1"/>
    <w:multiLevelType w:val="hybridMultilevel"/>
    <w:tmpl w:val="38C8A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34664A"/>
    <w:multiLevelType w:val="hybridMultilevel"/>
    <w:tmpl w:val="E716C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F944ED"/>
    <w:multiLevelType w:val="hybridMultilevel"/>
    <w:tmpl w:val="F4A64B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114A6C"/>
    <w:multiLevelType w:val="hybridMultilevel"/>
    <w:tmpl w:val="87C07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111249"/>
    <w:multiLevelType w:val="hybridMultilevel"/>
    <w:tmpl w:val="48E28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217623"/>
    <w:multiLevelType w:val="hybridMultilevel"/>
    <w:tmpl w:val="89A63826"/>
    <w:lvl w:ilvl="0" w:tplc="2E3AD20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48E9470A"/>
    <w:multiLevelType w:val="hybridMultilevel"/>
    <w:tmpl w:val="3D6A6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E36B28"/>
    <w:multiLevelType w:val="hybridMultilevel"/>
    <w:tmpl w:val="40347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DD4D5C"/>
    <w:multiLevelType w:val="hybridMultilevel"/>
    <w:tmpl w:val="FAB82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4E71AB"/>
    <w:multiLevelType w:val="hybridMultilevel"/>
    <w:tmpl w:val="20E67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68797D"/>
    <w:multiLevelType w:val="hybridMultilevel"/>
    <w:tmpl w:val="E6002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EA6604"/>
    <w:multiLevelType w:val="hybridMultilevel"/>
    <w:tmpl w:val="D2628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251BF7"/>
    <w:multiLevelType w:val="hybridMultilevel"/>
    <w:tmpl w:val="2D1E6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053C37"/>
    <w:multiLevelType w:val="hybridMultilevel"/>
    <w:tmpl w:val="8990C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4344E9"/>
    <w:multiLevelType w:val="hybridMultilevel"/>
    <w:tmpl w:val="C1E29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6B485F"/>
    <w:multiLevelType w:val="hybridMultilevel"/>
    <w:tmpl w:val="2AEAA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D304ECF"/>
    <w:multiLevelType w:val="hybridMultilevel"/>
    <w:tmpl w:val="55AAC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E552D76"/>
    <w:multiLevelType w:val="hybridMultilevel"/>
    <w:tmpl w:val="66067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4266119"/>
    <w:multiLevelType w:val="hybridMultilevel"/>
    <w:tmpl w:val="872C3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0C4B55"/>
    <w:multiLevelType w:val="hybridMultilevel"/>
    <w:tmpl w:val="9094E1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0FF3104"/>
    <w:multiLevelType w:val="hybridMultilevel"/>
    <w:tmpl w:val="3A880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CF755F"/>
    <w:multiLevelType w:val="hybridMultilevel"/>
    <w:tmpl w:val="00005F50"/>
    <w:lvl w:ilvl="0" w:tplc="6890D3DA">
      <w:numFmt w:val="bullet"/>
      <w:lvlText w:val="•"/>
      <w:lvlJc w:val="left"/>
      <w:pPr>
        <w:ind w:left="720" w:hanging="360"/>
      </w:pPr>
      <w:rPr>
        <w:rFonts w:ascii="Calibri" w:eastAsia="Calibr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A410C6"/>
    <w:multiLevelType w:val="hybridMultilevel"/>
    <w:tmpl w:val="68DAF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BE6B71"/>
    <w:multiLevelType w:val="hybridMultilevel"/>
    <w:tmpl w:val="38847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752A3F"/>
    <w:multiLevelType w:val="hybridMultilevel"/>
    <w:tmpl w:val="B712A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EA1B89"/>
    <w:multiLevelType w:val="hybridMultilevel"/>
    <w:tmpl w:val="2920F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4"/>
  </w:num>
  <w:num w:numId="3">
    <w:abstractNumId w:val="39"/>
  </w:num>
  <w:num w:numId="4">
    <w:abstractNumId w:val="0"/>
  </w:num>
  <w:num w:numId="5">
    <w:abstractNumId w:val="44"/>
  </w:num>
  <w:num w:numId="6">
    <w:abstractNumId w:val="9"/>
  </w:num>
  <w:num w:numId="7">
    <w:abstractNumId w:val="41"/>
  </w:num>
  <w:num w:numId="8">
    <w:abstractNumId w:val="18"/>
  </w:num>
  <w:num w:numId="9">
    <w:abstractNumId w:val="8"/>
  </w:num>
  <w:num w:numId="10">
    <w:abstractNumId w:val="36"/>
  </w:num>
  <w:num w:numId="11">
    <w:abstractNumId w:val="35"/>
  </w:num>
  <w:num w:numId="12">
    <w:abstractNumId w:val="2"/>
  </w:num>
  <w:num w:numId="13">
    <w:abstractNumId w:val="42"/>
  </w:num>
  <w:num w:numId="14">
    <w:abstractNumId w:val="34"/>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43"/>
  </w:num>
  <w:num w:numId="18">
    <w:abstractNumId w:val="4"/>
  </w:num>
  <w:num w:numId="19">
    <w:abstractNumId w:val="32"/>
  </w:num>
  <w:num w:numId="20">
    <w:abstractNumId w:val="19"/>
  </w:num>
  <w:num w:numId="21">
    <w:abstractNumId w:val="16"/>
  </w:num>
  <w:num w:numId="22">
    <w:abstractNumId w:val="13"/>
  </w:num>
  <w:num w:numId="23">
    <w:abstractNumId w:val="1"/>
  </w:num>
  <w:num w:numId="24">
    <w:abstractNumId w:val="26"/>
  </w:num>
  <w:num w:numId="25">
    <w:abstractNumId w:val="30"/>
  </w:num>
  <w:num w:numId="26">
    <w:abstractNumId w:val="31"/>
  </w:num>
  <w:num w:numId="27">
    <w:abstractNumId w:val="38"/>
  </w:num>
  <w:num w:numId="28">
    <w:abstractNumId w:val="23"/>
  </w:num>
  <w:num w:numId="29">
    <w:abstractNumId w:val="15"/>
  </w:num>
  <w:num w:numId="30">
    <w:abstractNumId w:val="37"/>
  </w:num>
  <w:num w:numId="31">
    <w:abstractNumId w:val="14"/>
  </w:num>
  <w:num w:numId="32">
    <w:abstractNumId w:val="22"/>
  </w:num>
  <w:num w:numId="33">
    <w:abstractNumId w:val="33"/>
  </w:num>
  <w:num w:numId="34">
    <w:abstractNumId w:val="17"/>
  </w:num>
  <w:num w:numId="35">
    <w:abstractNumId w:val="5"/>
  </w:num>
  <w:num w:numId="36">
    <w:abstractNumId w:val="29"/>
  </w:num>
  <w:num w:numId="37">
    <w:abstractNumId w:val="6"/>
  </w:num>
  <w:num w:numId="38">
    <w:abstractNumId w:val="40"/>
  </w:num>
  <w:num w:numId="39">
    <w:abstractNumId w:val="27"/>
  </w:num>
  <w:num w:numId="40">
    <w:abstractNumId w:val="10"/>
  </w:num>
  <w:num w:numId="41">
    <w:abstractNumId w:val="3"/>
  </w:num>
  <w:num w:numId="42">
    <w:abstractNumId w:val="28"/>
  </w:num>
  <w:num w:numId="43">
    <w:abstractNumId w:val="21"/>
  </w:num>
  <w:num w:numId="44">
    <w:abstractNumId w:val="45"/>
  </w:num>
  <w:num w:numId="45">
    <w:abstractNumId w:val="11"/>
  </w:num>
  <w:num w:numId="46">
    <w:abstractNumId w:val="12"/>
  </w:num>
  <w:num w:numId="47">
    <w:abstractNumId w:val="2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416"/>
    <w:rsid w:val="00000218"/>
    <w:rsid w:val="00000816"/>
    <w:rsid w:val="00000AEE"/>
    <w:rsid w:val="00000CE8"/>
    <w:rsid w:val="00001323"/>
    <w:rsid w:val="000018DB"/>
    <w:rsid w:val="00001FAA"/>
    <w:rsid w:val="00002D32"/>
    <w:rsid w:val="000030B5"/>
    <w:rsid w:val="00003348"/>
    <w:rsid w:val="00003D7C"/>
    <w:rsid w:val="0000438B"/>
    <w:rsid w:val="0000481C"/>
    <w:rsid w:val="00006E04"/>
    <w:rsid w:val="000075D9"/>
    <w:rsid w:val="0001026E"/>
    <w:rsid w:val="0001058D"/>
    <w:rsid w:val="00010E45"/>
    <w:rsid w:val="000112AB"/>
    <w:rsid w:val="00011B51"/>
    <w:rsid w:val="00012841"/>
    <w:rsid w:val="00012954"/>
    <w:rsid w:val="00012A95"/>
    <w:rsid w:val="00014523"/>
    <w:rsid w:val="00014C5B"/>
    <w:rsid w:val="00014ED1"/>
    <w:rsid w:val="000159BF"/>
    <w:rsid w:val="000165FA"/>
    <w:rsid w:val="00020420"/>
    <w:rsid w:val="00020838"/>
    <w:rsid w:val="00020DE2"/>
    <w:rsid w:val="0002131A"/>
    <w:rsid w:val="00021889"/>
    <w:rsid w:val="000219FE"/>
    <w:rsid w:val="00021DF3"/>
    <w:rsid w:val="00022079"/>
    <w:rsid w:val="000234E3"/>
    <w:rsid w:val="000234F4"/>
    <w:rsid w:val="00023544"/>
    <w:rsid w:val="00023BC6"/>
    <w:rsid w:val="000247B5"/>
    <w:rsid w:val="00024948"/>
    <w:rsid w:val="000257D1"/>
    <w:rsid w:val="0002680A"/>
    <w:rsid w:val="00026A27"/>
    <w:rsid w:val="00026F02"/>
    <w:rsid w:val="00030134"/>
    <w:rsid w:val="0003068F"/>
    <w:rsid w:val="000307EB"/>
    <w:rsid w:val="00032903"/>
    <w:rsid w:val="00032E07"/>
    <w:rsid w:val="000336AA"/>
    <w:rsid w:val="000338DA"/>
    <w:rsid w:val="000350B0"/>
    <w:rsid w:val="000355D9"/>
    <w:rsid w:val="00035AC9"/>
    <w:rsid w:val="000368C3"/>
    <w:rsid w:val="00036C91"/>
    <w:rsid w:val="0003741B"/>
    <w:rsid w:val="00040120"/>
    <w:rsid w:val="00040375"/>
    <w:rsid w:val="00040542"/>
    <w:rsid w:val="000406F2"/>
    <w:rsid w:val="000408B9"/>
    <w:rsid w:val="00042EE9"/>
    <w:rsid w:val="000446C1"/>
    <w:rsid w:val="00044E1D"/>
    <w:rsid w:val="000456BF"/>
    <w:rsid w:val="00046489"/>
    <w:rsid w:val="00047119"/>
    <w:rsid w:val="000474D5"/>
    <w:rsid w:val="000475FF"/>
    <w:rsid w:val="00050ED6"/>
    <w:rsid w:val="00052160"/>
    <w:rsid w:val="00052176"/>
    <w:rsid w:val="00052C77"/>
    <w:rsid w:val="0005333A"/>
    <w:rsid w:val="000545E0"/>
    <w:rsid w:val="000549C8"/>
    <w:rsid w:val="000549F5"/>
    <w:rsid w:val="00054EA9"/>
    <w:rsid w:val="00055997"/>
    <w:rsid w:val="00055DE5"/>
    <w:rsid w:val="0005732E"/>
    <w:rsid w:val="000600CA"/>
    <w:rsid w:val="00060521"/>
    <w:rsid w:val="00060967"/>
    <w:rsid w:val="00060FB6"/>
    <w:rsid w:val="00062476"/>
    <w:rsid w:val="00062673"/>
    <w:rsid w:val="000630EE"/>
    <w:rsid w:val="000632FF"/>
    <w:rsid w:val="00063BCD"/>
    <w:rsid w:val="00063D87"/>
    <w:rsid w:val="00063F3D"/>
    <w:rsid w:val="000641B7"/>
    <w:rsid w:val="00064C6D"/>
    <w:rsid w:val="00064EE8"/>
    <w:rsid w:val="00065D5F"/>
    <w:rsid w:val="00065D7A"/>
    <w:rsid w:val="00066E97"/>
    <w:rsid w:val="00066EC1"/>
    <w:rsid w:val="00067124"/>
    <w:rsid w:val="00067D6B"/>
    <w:rsid w:val="00067D92"/>
    <w:rsid w:val="000701C3"/>
    <w:rsid w:val="000706D9"/>
    <w:rsid w:val="00070A4C"/>
    <w:rsid w:val="00070FDD"/>
    <w:rsid w:val="000714E0"/>
    <w:rsid w:val="0007189B"/>
    <w:rsid w:val="00071F5E"/>
    <w:rsid w:val="00071F6F"/>
    <w:rsid w:val="000738C1"/>
    <w:rsid w:val="00073CD9"/>
    <w:rsid w:val="00074829"/>
    <w:rsid w:val="0007565B"/>
    <w:rsid w:val="00075669"/>
    <w:rsid w:val="00076054"/>
    <w:rsid w:val="00076336"/>
    <w:rsid w:val="00077034"/>
    <w:rsid w:val="00077C3B"/>
    <w:rsid w:val="00081B98"/>
    <w:rsid w:val="00083948"/>
    <w:rsid w:val="00084FC3"/>
    <w:rsid w:val="00086A74"/>
    <w:rsid w:val="00087FEB"/>
    <w:rsid w:val="000904E4"/>
    <w:rsid w:val="00091168"/>
    <w:rsid w:val="00091767"/>
    <w:rsid w:val="00091865"/>
    <w:rsid w:val="00092231"/>
    <w:rsid w:val="0009355E"/>
    <w:rsid w:val="00093D42"/>
    <w:rsid w:val="00094951"/>
    <w:rsid w:val="0009634C"/>
    <w:rsid w:val="000973E5"/>
    <w:rsid w:val="000977DA"/>
    <w:rsid w:val="00097CCB"/>
    <w:rsid w:val="00097E64"/>
    <w:rsid w:val="000A1574"/>
    <w:rsid w:val="000A1AF4"/>
    <w:rsid w:val="000A2FA7"/>
    <w:rsid w:val="000A32BC"/>
    <w:rsid w:val="000A33C1"/>
    <w:rsid w:val="000A41EA"/>
    <w:rsid w:val="000A4F1B"/>
    <w:rsid w:val="000A5D30"/>
    <w:rsid w:val="000A5EEB"/>
    <w:rsid w:val="000A74F1"/>
    <w:rsid w:val="000B02C5"/>
    <w:rsid w:val="000B1726"/>
    <w:rsid w:val="000B1F96"/>
    <w:rsid w:val="000B3F44"/>
    <w:rsid w:val="000B64E8"/>
    <w:rsid w:val="000B65CC"/>
    <w:rsid w:val="000C2FB8"/>
    <w:rsid w:val="000C38E1"/>
    <w:rsid w:val="000C3C10"/>
    <w:rsid w:val="000C59A1"/>
    <w:rsid w:val="000C5BB7"/>
    <w:rsid w:val="000C63BD"/>
    <w:rsid w:val="000C6C5C"/>
    <w:rsid w:val="000C7189"/>
    <w:rsid w:val="000C79F8"/>
    <w:rsid w:val="000C7C83"/>
    <w:rsid w:val="000D03BB"/>
    <w:rsid w:val="000D1A5D"/>
    <w:rsid w:val="000D1F8A"/>
    <w:rsid w:val="000D3B20"/>
    <w:rsid w:val="000D5AC8"/>
    <w:rsid w:val="000D5ED6"/>
    <w:rsid w:val="000D5EDC"/>
    <w:rsid w:val="000D63CB"/>
    <w:rsid w:val="000D63FA"/>
    <w:rsid w:val="000D6AD2"/>
    <w:rsid w:val="000D6C5E"/>
    <w:rsid w:val="000D6EB9"/>
    <w:rsid w:val="000D70F8"/>
    <w:rsid w:val="000D7378"/>
    <w:rsid w:val="000D77EA"/>
    <w:rsid w:val="000D7ABE"/>
    <w:rsid w:val="000E0779"/>
    <w:rsid w:val="000E12D2"/>
    <w:rsid w:val="000E3316"/>
    <w:rsid w:val="000E344B"/>
    <w:rsid w:val="000E3520"/>
    <w:rsid w:val="000E523A"/>
    <w:rsid w:val="000F0EC9"/>
    <w:rsid w:val="000F11F5"/>
    <w:rsid w:val="000F2564"/>
    <w:rsid w:val="000F2AC2"/>
    <w:rsid w:val="000F5142"/>
    <w:rsid w:val="000F5252"/>
    <w:rsid w:val="000F5D8F"/>
    <w:rsid w:val="000F5E25"/>
    <w:rsid w:val="000F5E3B"/>
    <w:rsid w:val="000F69EE"/>
    <w:rsid w:val="000F6E88"/>
    <w:rsid w:val="00101441"/>
    <w:rsid w:val="001018EF"/>
    <w:rsid w:val="00101CE9"/>
    <w:rsid w:val="00102E91"/>
    <w:rsid w:val="00103A11"/>
    <w:rsid w:val="001041D3"/>
    <w:rsid w:val="00104548"/>
    <w:rsid w:val="00105234"/>
    <w:rsid w:val="00106796"/>
    <w:rsid w:val="00107307"/>
    <w:rsid w:val="00107A1E"/>
    <w:rsid w:val="00107A98"/>
    <w:rsid w:val="00111857"/>
    <w:rsid w:val="001118E3"/>
    <w:rsid w:val="00113069"/>
    <w:rsid w:val="00113146"/>
    <w:rsid w:val="001137DD"/>
    <w:rsid w:val="00113F97"/>
    <w:rsid w:val="00114916"/>
    <w:rsid w:val="00115C92"/>
    <w:rsid w:val="00115E2B"/>
    <w:rsid w:val="001162A8"/>
    <w:rsid w:val="001166B9"/>
    <w:rsid w:val="00116F2C"/>
    <w:rsid w:val="00117389"/>
    <w:rsid w:val="00120900"/>
    <w:rsid w:val="00121357"/>
    <w:rsid w:val="0012161C"/>
    <w:rsid w:val="00122BDA"/>
    <w:rsid w:val="00123A21"/>
    <w:rsid w:val="00124774"/>
    <w:rsid w:val="001255C9"/>
    <w:rsid w:val="00125670"/>
    <w:rsid w:val="00125758"/>
    <w:rsid w:val="00125C9D"/>
    <w:rsid w:val="00130132"/>
    <w:rsid w:val="001323C5"/>
    <w:rsid w:val="0013265B"/>
    <w:rsid w:val="001338CE"/>
    <w:rsid w:val="001338F2"/>
    <w:rsid w:val="00135225"/>
    <w:rsid w:val="0013587B"/>
    <w:rsid w:val="00136197"/>
    <w:rsid w:val="00136976"/>
    <w:rsid w:val="00140021"/>
    <w:rsid w:val="00140DDA"/>
    <w:rsid w:val="00140F9F"/>
    <w:rsid w:val="00141797"/>
    <w:rsid w:val="00141C47"/>
    <w:rsid w:val="00142283"/>
    <w:rsid w:val="001424FB"/>
    <w:rsid w:val="0014260C"/>
    <w:rsid w:val="0014283C"/>
    <w:rsid w:val="00143B20"/>
    <w:rsid w:val="001444F3"/>
    <w:rsid w:val="00144D33"/>
    <w:rsid w:val="001459F0"/>
    <w:rsid w:val="00145CE6"/>
    <w:rsid w:val="001463B4"/>
    <w:rsid w:val="00146CB2"/>
    <w:rsid w:val="00146F46"/>
    <w:rsid w:val="00147656"/>
    <w:rsid w:val="00147F35"/>
    <w:rsid w:val="001511E6"/>
    <w:rsid w:val="00151E2F"/>
    <w:rsid w:val="0015213C"/>
    <w:rsid w:val="00152278"/>
    <w:rsid w:val="0015332A"/>
    <w:rsid w:val="0015373C"/>
    <w:rsid w:val="00154076"/>
    <w:rsid w:val="00154231"/>
    <w:rsid w:val="001547EA"/>
    <w:rsid w:val="00154ADD"/>
    <w:rsid w:val="0015512B"/>
    <w:rsid w:val="00155B85"/>
    <w:rsid w:val="0015611F"/>
    <w:rsid w:val="001565B9"/>
    <w:rsid w:val="00157E58"/>
    <w:rsid w:val="0016016C"/>
    <w:rsid w:val="001604EC"/>
    <w:rsid w:val="0016376F"/>
    <w:rsid w:val="001638CE"/>
    <w:rsid w:val="001641E4"/>
    <w:rsid w:val="00164B16"/>
    <w:rsid w:val="00164D08"/>
    <w:rsid w:val="00164D32"/>
    <w:rsid w:val="001654F9"/>
    <w:rsid w:val="0016601C"/>
    <w:rsid w:val="00167281"/>
    <w:rsid w:val="00167F99"/>
    <w:rsid w:val="001700E0"/>
    <w:rsid w:val="00172168"/>
    <w:rsid w:val="00172281"/>
    <w:rsid w:val="00173D52"/>
    <w:rsid w:val="00175D89"/>
    <w:rsid w:val="0017728A"/>
    <w:rsid w:val="00177945"/>
    <w:rsid w:val="00177EE2"/>
    <w:rsid w:val="001801D4"/>
    <w:rsid w:val="00180425"/>
    <w:rsid w:val="0018071C"/>
    <w:rsid w:val="00180EDA"/>
    <w:rsid w:val="0018135B"/>
    <w:rsid w:val="001815C8"/>
    <w:rsid w:val="00181FB4"/>
    <w:rsid w:val="001828FB"/>
    <w:rsid w:val="00183660"/>
    <w:rsid w:val="00183970"/>
    <w:rsid w:val="0018446B"/>
    <w:rsid w:val="001857B4"/>
    <w:rsid w:val="00186139"/>
    <w:rsid w:val="00190D0F"/>
    <w:rsid w:val="00191D02"/>
    <w:rsid w:val="00191EED"/>
    <w:rsid w:val="001931EC"/>
    <w:rsid w:val="001944CD"/>
    <w:rsid w:val="00195C39"/>
    <w:rsid w:val="00196795"/>
    <w:rsid w:val="001975D6"/>
    <w:rsid w:val="001A1277"/>
    <w:rsid w:val="001A1999"/>
    <w:rsid w:val="001A4F83"/>
    <w:rsid w:val="001A51D1"/>
    <w:rsid w:val="001A552D"/>
    <w:rsid w:val="001A59ED"/>
    <w:rsid w:val="001A5CDF"/>
    <w:rsid w:val="001A5D78"/>
    <w:rsid w:val="001A5F94"/>
    <w:rsid w:val="001A63CD"/>
    <w:rsid w:val="001A6908"/>
    <w:rsid w:val="001A6AD5"/>
    <w:rsid w:val="001A7B94"/>
    <w:rsid w:val="001B0363"/>
    <w:rsid w:val="001B051A"/>
    <w:rsid w:val="001B05D1"/>
    <w:rsid w:val="001B07EA"/>
    <w:rsid w:val="001B136B"/>
    <w:rsid w:val="001B1536"/>
    <w:rsid w:val="001B2A9B"/>
    <w:rsid w:val="001B332E"/>
    <w:rsid w:val="001B45A2"/>
    <w:rsid w:val="001B4EFD"/>
    <w:rsid w:val="001B68E8"/>
    <w:rsid w:val="001B6A2B"/>
    <w:rsid w:val="001C047F"/>
    <w:rsid w:val="001C04BE"/>
    <w:rsid w:val="001C22F0"/>
    <w:rsid w:val="001C2419"/>
    <w:rsid w:val="001C3107"/>
    <w:rsid w:val="001C4151"/>
    <w:rsid w:val="001C488E"/>
    <w:rsid w:val="001C49C4"/>
    <w:rsid w:val="001C4E90"/>
    <w:rsid w:val="001C5577"/>
    <w:rsid w:val="001C5595"/>
    <w:rsid w:val="001C6CC1"/>
    <w:rsid w:val="001C7ACD"/>
    <w:rsid w:val="001C7B4F"/>
    <w:rsid w:val="001D0693"/>
    <w:rsid w:val="001D1457"/>
    <w:rsid w:val="001D2F0F"/>
    <w:rsid w:val="001D2F9C"/>
    <w:rsid w:val="001D304D"/>
    <w:rsid w:val="001D3629"/>
    <w:rsid w:val="001D4076"/>
    <w:rsid w:val="001D4272"/>
    <w:rsid w:val="001D47C7"/>
    <w:rsid w:val="001D5430"/>
    <w:rsid w:val="001D5E46"/>
    <w:rsid w:val="001D6918"/>
    <w:rsid w:val="001D6F5C"/>
    <w:rsid w:val="001E01F5"/>
    <w:rsid w:val="001E08FD"/>
    <w:rsid w:val="001E115D"/>
    <w:rsid w:val="001E1F1F"/>
    <w:rsid w:val="001E3B58"/>
    <w:rsid w:val="001E412C"/>
    <w:rsid w:val="001E5A7E"/>
    <w:rsid w:val="001E62B6"/>
    <w:rsid w:val="001E7DF6"/>
    <w:rsid w:val="001F039A"/>
    <w:rsid w:val="001F1C73"/>
    <w:rsid w:val="001F1EC5"/>
    <w:rsid w:val="001F2350"/>
    <w:rsid w:val="001F29B1"/>
    <w:rsid w:val="001F2D8D"/>
    <w:rsid w:val="001F2E52"/>
    <w:rsid w:val="001F32AF"/>
    <w:rsid w:val="001F4182"/>
    <w:rsid w:val="001F4E19"/>
    <w:rsid w:val="001F57F9"/>
    <w:rsid w:val="001F5E43"/>
    <w:rsid w:val="001F60C9"/>
    <w:rsid w:val="001F6388"/>
    <w:rsid w:val="001F6AA5"/>
    <w:rsid w:val="001F73DD"/>
    <w:rsid w:val="001F74CB"/>
    <w:rsid w:val="002008E4"/>
    <w:rsid w:val="00200A97"/>
    <w:rsid w:val="00200B5E"/>
    <w:rsid w:val="00202745"/>
    <w:rsid w:val="00202994"/>
    <w:rsid w:val="00203AD8"/>
    <w:rsid w:val="00205064"/>
    <w:rsid w:val="0020586D"/>
    <w:rsid w:val="00207280"/>
    <w:rsid w:val="002073FD"/>
    <w:rsid w:val="00207602"/>
    <w:rsid w:val="0021057F"/>
    <w:rsid w:val="00211CEA"/>
    <w:rsid w:val="00212087"/>
    <w:rsid w:val="00212F94"/>
    <w:rsid w:val="0021390F"/>
    <w:rsid w:val="002155BD"/>
    <w:rsid w:val="00215684"/>
    <w:rsid w:val="0021592B"/>
    <w:rsid w:val="002159E3"/>
    <w:rsid w:val="00217AF2"/>
    <w:rsid w:val="0022044C"/>
    <w:rsid w:val="002221C5"/>
    <w:rsid w:val="00222222"/>
    <w:rsid w:val="0022236C"/>
    <w:rsid w:val="00224EB0"/>
    <w:rsid w:val="002275E7"/>
    <w:rsid w:val="00230EE7"/>
    <w:rsid w:val="002317BB"/>
    <w:rsid w:val="00231D42"/>
    <w:rsid w:val="002338FF"/>
    <w:rsid w:val="00233A1F"/>
    <w:rsid w:val="00233AF8"/>
    <w:rsid w:val="002344C8"/>
    <w:rsid w:val="00235618"/>
    <w:rsid w:val="00236A30"/>
    <w:rsid w:val="00236BFB"/>
    <w:rsid w:val="0023767E"/>
    <w:rsid w:val="002409EA"/>
    <w:rsid w:val="002412AB"/>
    <w:rsid w:val="00241553"/>
    <w:rsid w:val="002415ED"/>
    <w:rsid w:val="00242B70"/>
    <w:rsid w:val="00242F4B"/>
    <w:rsid w:val="002435AB"/>
    <w:rsid w:val="00243C22"/>
    <w:rsid w:val="0024457E"/>
    <w:rsid w:val="0024518B"/>
    <w:rsid w:val="002453C4"/>
    <w:rsid w:val="00245427"/>
    <w:rsid w:val="00245E19"/>
    <w:rsid w:val="002460DD"/>
    <w:rsid w:val="00246580"/>
    <w:rsid w:val="00246F48"/>
    <w:rsid w:val="00247079"/>
    <w:rsid w:val="0024752B"/>
    <w:rsid w:val="00247EF2"/>
    <w:rsid w:val="00250131"/>
    <w:rsid w:val="002501C9"/>
    <w:rsid w:val="00250A5C"/>
    <w:rsid w:val="00252C92"/>
    <w:rsid w:val="0025304A"/>
    <w:rsid w:val="00253B32"/>
    <w:rsid w:val="00253DFB"/>
    <w:rsid w:val="00255312"/>
    <w:rsid w:val="00255F06"/>
    <w:rsid w:val="00256739"/>
    <w:rsid w:val="00256A15"/>
    <w:rsid w:val="00257D95"/>
    <w:rsid w:val="00261B2D"/>
    <w:rsid w:val="00262E37"/>
    <w:rsid w:val="002662EE"/>
    <w:rsid w:val="002669DA"/>
    <w:rsid w:val="00267A49"/>
    <w:rsid w:val="002706BE"/>
    <w:rsid w:val="00270927"/>
    <w:rsid w:val="002711E9"/>
    <w:rsid w:val="00271217"/>
    <w:rsid w:val="00271F03"/>
    <w:rsid w:val="00272053"/>
    <w:rsid w:val="00273FED"/>
    <w:rsid w:val="00274B81"/>
    <w:rsid w:val="00275403"/>
    <w:rsid w:val="00276122"/>
    <w:rsid w:val="002768A8"/>
    <w:rsid w:val="002769B3"/>
    <w:rsid w:val="00276B2F"/>
    <w:rsid w:val="00276C6E"/>
    <w:rsid w:val="0027771E"/>
    <w:rsid w:val="00280864"/>
    <w:rsid w:val="0028170D"/>
    <w:rsid w:val="00281E5B"/>
    <w:rsid w:val="002821D2"/>
    <w:rsid w:val="002832D9"/>
    <w:rsid w:val="00284009"/>
    <w:rsid w:val="002852B6"/>
    <w:rsid w:val="00285320"/>
    <w:rsid w:val="002856CA"/>
    <w:rsid w:val="00285C68"/>
    <w:rsid w:val="002865DD"/>
    <w:rsid w:val="00290050"/>
    <w:rsid w:val="00290278"/>
    <w:rsid w:val="002905F0"/>
    <w:rsid w:val="00290740"/>
    <w:rsid w:val="002911C8"/>
    <w:rsid w:val="00291D66"/>
    <w:rsid w:val="00293437"/>
    <w:rsid w:val="00295A41"/>
    <w:rsid w:val="00296422"/>
    <w:rsid w:val="002A001B"/>
    <w:rsid w:val="002A1141"/>
    <w:rsid w:val="002A16DB"/>
    <w:rsid w:val="002A2A8C"/>
    <w:rsid w:val="002A35D1"/>
    <w:rsid w:val="002A3FCE"/>
    <w:rsid w:val="002A43A1"/>
    <w:rsid w:val="002A78D5"/>
    <w:rsid w:val="002B080D"/>
    <w:rsid w:val="002B2599"/>
    <w:rsid w:val="002B2A61"/>
    <w:rsid w:val="002B2C48"/>
    <w:rsid w:val="002B4657"/>
    <w:rsid w:val="002B78AC"/>
    <w:rsid w:val="002B7B67"/>
    <w:rsid w:val="002B7B74"/>
    <w:rsid w:val="002C00F5"/>
    <w:rsid w:val="002C1466"/>
    <w:rsid w:val="002C18C3"/>
    <w:rsid w:val="002C422B"/>
    <w:rsid w:val="002C4FA2"/>
    <w:rsid w:val="002C60DB"/>
    <w:rsid w:val="002C6311"/>
    <w:rsid w:val="002C6A54"/>
    <w:rsid w:val="002C6D3B"/>
    <w:rsid w:val="002D12D7"/>
    <w:rsid w:val="002D1907"/>
    <w:rsid w:val="002D20B9"/>
    <w:rsid w:val="002D27ED"/>
    <w:rsid w:val="002D3181"/>
    <w:rsid w:val="002D4708"/>
    <w:rsid w:val="002D568B"/>
    <w:rsid w:val="002D5B56"/>
    <w:rsid w:val="002D5F40"/>
    <w:rsid w:val="002D6018"/>
    <w:rsid w:val="002D6358"/>
    <w:rsid w:val="002D673E"/>
    <w:rsid w:val="002D6C8E"/>
    <w:rsid w:val="002E19F1"/>
    <w:rsid w:val="002E2B62"/>
    <w:rsid w:val="002E2F46"/>
    <w:rsid w:val="002E35E1"/>
    <w:rsid w:val="002E42BB"/>
    <w:rsid w:val="002E5154"/>
    <w:rsid w:val="002E6418"/>
    <w:rsid w:val="002E6960"/>
    <w:rsid w:val="002E7CD3"/>
    <w:rsid w:val="002F0294"/>
    <w:rsid w:val="002F07E4"/>
    <w:rsid w:val="002F0846"/>
    <w:rsid w:val="002F11AD"/>
    <w:rsid w:val="002F14B7"/>
    <w:rsid w:val="002F2B1C"/>
    <w:rsid w:val="002F52F9"/>
    <w:rsid w:val="002F669E"/>
    <w:rsid w:val="002F7A9B"/>
    <w:rsid w:val="00300144"/>
    <w:rsid w:val="0030031C"/>
    <w:rsid w:val="0030095C"/>
    <w:rsid w:val="00301B92"/>
    <w:rsid w:val="00301C58"/>
    <w:rsid w:val="00302C9E"/>
    <w:rsid w:val="0030319F"/>
    <w:rsid w:val="003032CE"/>
    <w:rsid w:val="00303A66"/>
    <w:rsid w:val="00303D13"/>
    <w:rsid w:val="003044ED"/>
    <w:rsid w:val="00306478"/>
    <w:rsid w:val="00306FF8"/>
    <w:rsid w:val="0030717B"/>
    <w:rsid w:val="00307283"/>
    <w:rsid w:val="00307AA9"/>
    <w:rsid w:val="00310237"/>
    <w:rsid w:val="00311320"/>
    <w:rsid w:val="00311462"/>
    <w:rsid w:val="00312222"/>
    <w:rsid w:val="0031321D"/>
    <w:rsid w:val="00313A84"/>
    <w:rsid w:val="00313CE9"/>
    <w:rsid w:val="003163DE"/>
    <w:rsid w:val="00321BEC"/>
    <w:rsid w:val="00323107"/>
    <w:rsid w:val="00323369"/>
    <w:rsid w:val="0032348B"/>
    <w:rsid w:val="00323D27"/>
    <w:rsid w:val="003244CC"/>
    <w:rsid w:val="0032589C"/>
    <w:rsid w:val="003268D2"/>
    <w:rsid w:val="003273BC"/>
    <w:rsid w:val="003276B1"/>
    <w:rsid w:val="003304FC"/>
    <w:rsid w:val="003312A1"/>
    <w:rsid w:val="003325A6"/>
    <w:rsid w:val="003328A0"/>
    <w:rsid w:val="00334478"/>
    <w:rsid w:val="00335314"/>
    <w:rsid w:val="00335DF3"/>
    <w:rsid w:val="00336572"/>
    <w:rsid w:val="00336B31"/>
    <w:rsid w:val="00337B3D"/>
    <w:rsid w:val="00340080"/>
    <w:rsid w:val="0034104D"/>
    <w:rsid w:val="00341056"/>
    <w:rsid w:val="003412D1"/>
    <w:rsid w:val="00342073"/>
    <w:rsid w:val="00344879"/>
    <w:rsid w:val="00344B1F"/>
    <w:rsid w:val="003450EA"/>
    <w:rsid w:val="0034513A"/>
    <w:rsid w:val="0034584A"/>
    <w:rsid w:val="00346F55"/>
    <w:rsid w:val="003473A9"/>
    <w:rsid w:val="00351099"/>
    <w:rsid w:val="003516C9"/>
    <w:rsid w:val="00352FDE"/>
    <w:rsid w:val="003546D6"/>
    <w:rsid w:val="0035488A"/>
    <w:rsid w:val="00354ADD"/>
    <w:rsid w:val="003553EF"/>
    <w:rsid w:val="00355859"/>
    <w:rsid w:val="003562B2"/>
    <w:rsid w:val="00356709"/>
    <w:rsid w:val="00356A3E"/>
    <w:rsid w:val="00356ABA"/>
    <w:rsid w:val="00356F44"/>
    <w:rsid w:val="003578CE"/>
    <w:rsid w:val="00360826"/>
    <w:rsid w:val="0036093D"/>
    <w:rsid w:val="00361C9E"/>
    <w:rsid w:val="00361D9A"/>
    <w:rsid w:val="0036440E"/>
    <w:rsid w:val="00364E49"/>
    <w:rsid w:val="0036506E"/>
    <w:rsid w:val="00366848"/>
    <w:rsid w:val="00366D64"/>
    <w:rsid w:val="0036757F"/>
    <w:rsid w:val="00367E0D"/>
    <w:rsid w:val="003719FA"/>
    <w:rsid w:val="00371FD5"/>
    <w:rsid w:val="003727DC"/>
    <w:rsid w:val="00373E21"/>
    <w:rsid w:val="00374786"/>
    <w:rsid w:val="003760F2"/>
    <w:rsid w:val="003765EB"/>
    <w:rsid w:val="00377DC4"/>
    <w:rsid w:val="00377EFC"/>
    <w:rsid w:val="003800F3"/>
    <w:rsid w:val="003801C1"/>
    <w:rsid w:val="003802BC"/>
    <w:rsid w:val="003821A1"/>
    <w:rsid w:val="003823F2"/>
    <w:rsid w:val="00383ABD"/>
    <w:rsid w:val="0038424F"/>
    <w:rsid w:val="00385B25"/>
    <w:rsid w:val="00386945"/>
    <w:rsid w:val="003879D5"/>
    <w:rsid w:val="0039048F"/>
    <w:rsid w:val="00392883"/>
    <w:rsid w:val="00393C3B"/>
    <w:rsid w:val="003952BA"/>
    <w:rsid w:val="00395537"/>
    <w:rsid w:val="00395846"/>
    <w:rsid w:val="003959E7"/>
    <w:rsid w:val="00395C2F"/>
    <w:rsid w:val="003961D9"/>
    <w:rsid w:val="0039635B"/>
    <w:rsid w:val="00397DB3"/>
    <w:rsid w:val="003A38E8"/>
    <w:rsid w:val="003A39F4"/>
    <w:rsid w:val="003A3F88"/>
    <w:rsid w:val="003A4042"/>
    <w:rsid w:val="003A427C"/>
    <w:rsid w:val="003A4546"/>
    <w:rsid w:val="003A4568"/>
    <w:rsid w:val="003A4F40"/>
    <w:rsid w:val="003A6A24"/>
    <w:rsid w:val="003A79B8"/>
    <w:rsid w:val="003B2298"/>
    <w:rsid w:val="003B2626"/>
    <w:rsid w:val="003B3BD5"/>
    <w:rsid w:val="003B4933"/>
    <w:rsid w:val="003B5050"/>
    <w:rsid w:val="003B513F"/>
    <w:rsid w:val="003B5A25"/>
    <w:rsid w:val="003B63F6"/>
    <w:rsid w:val="003B6929"/>
    <w:rsid w:val="003C002D"/>
    <w:rsid w:val="003C01C7"/>
    <w:rsid w:val="003C08C0"/>
    <w:rsid w:val="003C1105"/>
    <w:rsid w:val="003C1928"/>
    <w:rsid w:val="003C1FC3"/>
    <w:rsid w:val="003C20D5"/>
    <w:rsid w:val="003C38F7"/>
    <w:rsid w:val="003C4EC3"/>
    <w:rsid w:val="003C6833"/>
    <w:rsid w:val="003C6BFB"/>
    <w:rsid w:val="003C7033"/>
    <w:rsid w:val="003C74B3"/>
    <w:rsid w:val="003C761A"/>
    <w:rsid w:val="003C782F"/>
    <w:rsid w:val="003D0E91"/>
    <w:rsid w:val="003D0F3E"/>
    <w:rsid w:val="003D1170"/>
    <w:rsid w:val="003D222E"/>
    <w:rsid w:val="003D24F6"/>
    <w:rsid w:val="003D4D0A"/>
    <w:rsid w:val="003D609C"/>
    <w:rsid w:val="003D6EE9"/>
    <w:rsid w:val="003E1265"/>
    <w:rsid w:val="003E1759"/>
    <w:rsid w:val="003E1917"/>
    <w:rsid w:val="003E1EF9"/>
    <w:rsid w:val="003E21BF"/>
    <w:rsid w:val="003E22EE"/>
    <w:rsid w:val="003E23A6"/>
    <w:rsid w:val="003E36C4"/>
    <w:rsid w:val="003E4792"/>
    <w:rsid w:val="003E5B73"/>
    <w:rsid w:val="003E78D1"/>
    <w:rsid w:val="003F00A7"/>
    <w:rsid w:val="003F0D08"/>
    <w:rsid w:val="003F22BD"/>
    <w:rsid w:val="003F2425"/>
    <w:rsid w:val="003F2699"/>
    <w:rsid w:val="003F32F8"/>
    <w:rsid w:val="003F3FF8"/>
    <w:rsid w:val="003F4016"/>
    <w:rsid w:val="003F4022"/>
    <w:rsid w:val="003F456B"/>
    <w:rsid w:val="003F4809"/>
    <w:rsid w:val="003F4D3D"/>
    <w:rsid w:val="003F5638"/>
    <w:rsid w:val="003F6F14"/>
    <w:rsid w:val="00400667"/>
    <w:rsid w:val="00400A8D"/>
    <w:rsid w:val="00401ADA"/>
    <w:rsid w:val="00402445"/>
    <w:rsid w:val="0040382B"/>
    <w:rsid w:val="00404855"/>
    <w:rsid w:val="00404A1C"/>
    <w:rsid w:val="0040626A"/>
    <w:rsid w:val="0040722E"/>
    <w:rsid w:val="00407569"/>
    <w:rsid w:val="00407E0F"/>
    <w:rsid w:val="00410ECA"/>
    <w:rsid w:val="00411FC5"/>
    <w:rsid w:val="00413187"/>
    <w:rsid w:val="00413191"/>
    <w:rsid w:val="00413877"/>
    <w:rsid w:val="004151D4"/>
    <w:rsid w:val="00415F5D"/>
    <w:rsid w:val="00416161"/>
    <w:rsid w:val="004162A9"/>
    <w:rsid w:val="00417DDA"/>
    <w:rsid w:val="00421D07"/>
    <w:rsid w:val="00422FC9"/>
    <w:rsid w:val="004231D5"/>
    <w:rsid w:val="0042321C"/>
    <w:rsid w:val="00423B91"/>
    <w:rsid w:val="0042412F"/>
    <w:rsid w:val="004244CA"/>
    <w:rsid w:val="0042460B"/>
    <w:rsid w:val="00425670"/>
    <w:rsid w:val="00425826"/>
    <w:rsid w:val="00425A3A"/>
    <w:rsid w:val="00425AB5"/>
    <w:rsid w:val="00426393"/>
    <w:rsid w:val="00426A48"/>
    <w:rsid w:val="00431C0A"/>
    <w:rsid w:val="0043221B"/>
    <w:rsid w:val="004330BF"/>
    <w:rsid w:val="0043342E"/>
    <w:rsid w:val="0043410A"/>
    <w:rsid w:val="00434205"/>
    <w:rsid w:val="00434510"/>
    <w:rsid w:val="00435355"/>
    <w:rsid w:val="00435BD6"/>
    <w:rsid w:val="00436033"/>
    <w:rsid w:val="004366E4"/>
    <w:rsid w:val="00436AD8"/>
    <w:rsid w:val="004370DE"/>
    <w:rsid w:val="00437800"/>
    <w:rsid w:val="004404DD"/>
    <w:rsid w:val="00440C8E"/>
    <w:rsid w:val="00441CA4"/>
    <w:rsid w:val="00442BAB"/>
    <w:rsid w:val="00442F94"/>
    <w:rsid w:val="00443D42"/>
    <w:rsid w:val="00443EE4"/>
    <w:rsid w:val="00444640"/>
    <w:rsid w:val="00444B58"/>
    <w:rsid w:val="00444D26"/>
    <w:rsid w:val="0044548C"/>
    <w:rsid w:val="00447833"/>
    <w:rsid w:val="00447D6F"/>
    <w:rsid w:val="004509F4"/>
    <w:rsid w:val="0045100C"/>
    <w:rsid w:val="004522CB"/>
    <w:rsid w:val="00452D02"/>
    <w:rsid w:val="00452D7E"/>
    <w:rsid w:val="004539DC"/>
    <w:rsid w:val="0045485F"/>
    <w:rsid w:val="00454932"/>
    <w:rsid w:val="00455296"/>
    <w:rsid w:val="00455561"/>
    <w:rsid w:val="004555AE"/>
    <w:rsid w:val="0045680D"/>
    <w:rsid w:val="004568D3"/>
    <w:rsid w:val="00456EBC"/>
    <w:rsid w:val="00457425"/>
    <w:rsid w:val="00460842"/>
    <w:rsid w:val="004609CF"/>
    <w:rsid w:val="00461B32"/>
    <w:rsid w:val="004632DA"/>
    <w:rsid w:val="00463A1D"/>
    <w:rsid w:val="00463EBF"/>
    <w:rsid w:val="00464050"/>
    <w:rsid w:val="004640FF"/>
    <w:rsid w:val="004646F1"/>
    <w:rsid w:val="0046532E"/>
    <w:rsid w:val="004661F1"/>
    <w:rsid w:val="00467DEB"/>
    <w:rsid w:val="00467E11"/>
    <w:rsid w:val="00467FD7"/>
    <w:rsid w:val="004700CD"/>
    <w:rsid w:val="00471536"/>
    <w:rsid w:val="0047158B"/>
    <w:rsid w:val="004728FA"/>
    <w:rsid w:val="00472E46"/>
    <w:rsid w:val="00472FEF"/>
    <w:rsid w:val="00473E1B"/>
    <w:rsid w:val="0047428E"/>
    <w:rsid w:val="00474A04"/>
    <w:rsid w:val="00474D26"/>
    <w:rsid w:val="00475170"/>
    <w:rsid w:val="00477D99"/>
    <w:rsid w:val="004802AB"/>
    <w:rsid w:val="004806A5"/>
    <w:rsid w:val="00480D5A"/>
    <w:rsid w:val="004816F5"/>
    <w:rsid w:val="004824D2"/>
    <w:rsid w:val="004825AE"/>
    <w:rsid w:val="00482EAD"/>
    <w:rsid w:val="00483955"/>
    <w:rsid w:val="004840D1"/>
    <w:rsid w:val="00484308"/>
    <w:rsid w:val="00484337"/>
    <w:rsid w:val="00485059"/>
    <w:rsid w:val="00485366"/>
    <w:rsid w:val="00485966"/>
    <w:rsid w:val="0048615C"/>
    <w:rsid w:val="00486D0D"/>
    <w:rsid w:val="0048758E"/>
    <w:rsid w:val="00490367"/>
    <w:rsid w:val="004913DB"/>
    <w:rsid w:val="0049277A"/>
    <w:rsid w:val="00492919"/>
    <w:rsid w:val="00495723"/>
    <w:rsid w:val="004965E8"/>
    <w:rsid w:val="00496841"/>
    <w:rsid w:val="00496C58"/>
    <w:rsid w:val="004A0620"/>
    <w:rsid w:val="004A0686"/>
    <w:rsid w:val="004A0947"/>
    <w:rsid w:val="004A29B0"/>
    <w:rsid w:val="004A398F"/>
    <w:rsid w:val="004A5371"/>
    <w:rsid w:val="004A702D"/>
    <w:rsid w:val="004A7B64"/>
    <w:rsid w:val="004B008D"/>
    <w:rsid w:val="004B01FA"/>
    <w:rsid w:val="004B0FF6"/>
    <w:rsid w:val="004B28CC"/>
    <w:rsid w:val="004B41E3"/>
    <w:rsid w:val="004B46C4"/>
    <w:rsid w:val="004B4F03"/>
    <w:rsid w:val="004B524F"/>
    <w:rsid w:val="004B5502"/>
    <w:rsid w:val="004B59EA"/>
    <w:rsid w:val="004B6439"/>
    <w:rsid w:val="004C0273"/>
    <w:rsid w:val="004C0487"/>
    <w:rsid w:val="004C1647"/>
    <w:rsid w:val="004C4850"/>
    <w:rsid w:val="004C5925"/>
    <w:rsid w:val="004C5C4A"/>
    <w:rsid w:val="004C6CF7"/>
    <w:rsid w:val="004C6FF3"/>
    <w:rsid w:val="004C72C5"/>
    <w:rsid w:val="004C78CA"/>
    <w:rsid w:val="004D0927"/>
    <w:rsid w:val="004D0AA3"/>
    <w:rsid w:val="004D1118"/>
    <w:rsid w:val="004D1AF4"/>
    <w:rsid w:val="004D2B48"/>
    <w:rsid w:val="004D4632"/>
    <w:rsid w:val="004D630B"/>
    <w:rsid w:val="004D7734"/>
    <w:rsid w:val="004D79AA"/>
    <w:rsid w:val="004E0498"/>
    <w:rsid w:val="004E0A2F"/>
    <w:rsid w:val="004E1135"/>
    <w:rsid w:val="004E1545"/>
    <w:rsid w:val="004E26BE"/>
    <w:rsid w:val="004E4B8E"/>
    <w:rsid w:val="004E6406"/>
    <w:rsid w:val="004E7E59"/>
    <w:rsid w:val="004E7F52"/>
    <w:rsid w:val="004F0431"/>
    <w:rsid w:val="004F0B7C"/>
    <w:rsid w:val="004F0EB2"/>
    <w:rsid w:val="004F1080"/>
    <w:rsid w:val="004F1DF9"/>
    <w:rsid w:val="004F1E9D"/>
    <w:rsid w:val="004F3CA5"/>
    <w:rsid w:val="004F4071"/>
    <w:rsid w:val="004F436E"/>
    <w:rsid w:val="004F4C14"/>
    <w:rsid w:val="004F4CFF"/>
    <w:rsid w:val="004F519C"/>
    <w:rsid w:val="004F6C1C"/>
    <w:rsid w:val="004F7129"/>
    <w:rsid w:val="004F7151"/>
    <w:rsid w:val="004F75D5"/>
    <w:rsid w:val="00500926"/>
    <w:rsid w:val="005014FD"/>
    <w:rsid w:val="0050237B"/>
    <w:rsid w:val="00502740"/>
    <w:rsid w:val="00503214"/>
    <w:rsid w:val="00503CD6"/>
    <w:rsid w:val="00503CE8"/>
    <w:rsid w:val="005047EF"/>
    <w:rsid w:val="00504EFE"/>
    <w:rsid w:val="00507E72"/>
    <w:rsid w:val="00510ABD"/>
    <w:rsid w:val="00511812"/>
    <w:rsid w:val="0051250B"/>
    <w:rsid w:val="00513F18"/>
    <w:rsid w:val="00513F78"/>
    <w:rsid w:val="005148C3"/>
    <w:rsid w:val="00514D31"/>
    <w:rsid w:val="005179DE"/>
    <w:rsid w:val="00517A1A"/>
    <w:rsid w:val="00517FC0"/>
    <w:rsid w:val="005202F4"/>
    <w:rsid w:val="00520E24"/>
    <w:rsid w:val="00520F40"/>
    <w:rsid w:val="00520FA0"/>
    <w:rsid w:val="00521340"/>
    <w:rsid w:val="005217B0"/>
    <w:rsid w:val="00523AA4"/>
    <w:rsid w:val="00524315"/>
    <w:rsid w:val="0052442F"/>
    <w:rsid w:val="00525469"/>
    <w:rsid w:val="005256FC"/>
    <w:rsid w:val="00525B72"/>
    <w:rsid w:val="0052681A"/>
    <w:rsid w:val="00527F56"/>
    <w:rsid w:val="00527F7C"/>
    <w:rsid w:val="00530665"/>
    <w:rsid w:val="005310C2"/>
    <w:rsid w:val="00531577"/>
    <w:rsid w:val="00533704"/>
    <w:rsid w:val="00534272"/>
    <w:rsid w:val="00535175"/>
    <w:rsid w:val="005364F1"/>
    <w:rsid w:val="00536814"/>
    <w:rsid w:val="00536874"/>
    <w:rsid w:val="0053721F"/>
    <w:rsid w:val="00537C3C"/>
    <w:rsid w:val="0054311F"/>
    <w:rsid w:val="00544110"/>
    <w:rsid w:val="00545056"/>
    <w:rsid w:val="00546DC4"/>
    <w:rsid w:val="00547E3D"/>
    <w:rsid w:val="005523F9"/>
    <w:rsid w:val="0055310D"/>
    <w:rsid w:val="00553428"/>
    <w:rsid w:val="005540E7"/>
    <w:rsid w:val="0055554C"/>
    <w:rsid w:val="00557404"/>
    <w:rsid w:val="00560258"/>
    <w:rsid w:val="00561023"/>
    <w:rsid w:val="005610A5"/>
    <w:rsid w:val="0056189E"/>
    <w:rsid w:val="00561C60"/>
    <w:rsid w:val="00562324"/>
    <w:rsid w:val="00563023"/>
    <w:rsid w:val="00563424"/>
    <w:rsid w:val="00563508"/>
    <w:rsid w:val="0056452D"/>
    <w:rsid w:val="00565744"/>
    <w:rsid w:val="00565E16"/>
    <w:rsid w:val="00570603"/>
    <w:rsid w:val="0057380F"/>
    <w:rsid w:val="0057491C"/>
    <w:rsid w:val="005749EB"/>
    <w:rsid w:val="00574D62"/>
    <w:rsid w:val="00574E77"/>
    <w:rsid w:val="00574EFE"/>
    <w:rsid w:val="00576FC5"/>
    <w:rsid w:val="00580726"/>
    <w:rsid w:val="00580E70"/>
    <w:rsid w:val="00582302"/>
    <w:rsid w:val="00582EA4"/>
    <w:rsid w:val="005833EA"/>
    <w:rsid w:val="00584099"/>
    <w:rsid w:val="0058513D"/>
    <w:rsid w:val="005858FF"/>
    <w:rsid w:val="00586322"/>
    <w:rsid w:val="005867C2"/>
    <w:rsid w:val="005900D1"/>
    <w:rsid w:val="0059023F"/>
    <w:rsid w:val="005907DE"/>
    <w:rsid w:val="005912CB"/>
    <w:rsid w:val="00591A08"/>
    <w:rsid w:val="00592D0B"/>
    <w:rsid w:val="00593812"/>
    <w:rsid w:val="00593E3E"/>
    <w:rsid w:val="00594081"/>
    <w:rsid w:val="00594318"/>
    <w:rsid w:val="00594CE9"/>
    <w:rsid w:val="00595047"/>
    <w:rsid w:val="0059590D"/>
    <w:rsid w:val="00596533"/>
    <w:rsid w:val="0059796C"/>
    <w:rsid w:val="005A1ECD"/>
    <w:rsid w:val="005A227E"/>
    <w:rsid w:val="005A28C6"/>
    <w:rsid w:val="005A29C2"/>
    <w:rsid w:val="005A361F"/>
    <w:rsid w:val="005A4400"/>
    <w:rsid w:val="005A4CCA"/>
    <w:rsid w:val="005A61A7"/>
    <w:rsid w:val="005A6433"/>
    <w:rsid w:val="005A7507"/>
    <w:rsid w:val="005A7FB7"/>
    <w:rsid w:val="005B03B5"/>
    <w:rsid w:val="005B1807"/>
    <w:rsid w:val="005B19C8"/>
    <w:rsid w:val="005B28D3"/>
    <w:rsid w:val="005B2C74"/>
    <w:rsid w:val="005B2E81"/>
    <w:rsid w:val="005B4361"/>
    <w:rsid w:val="005B553C"/>
    <w:rsid w:val="005B5A9C"/>
    <w:rsid w:val="005B7514"/>
    <w:rsid w:val="005C0767"/>
    <w:rsid w:val="005C0AD7"/>
    <w:rsid w:val="005C0EA0"/>
    <w:rsid w:val="005C19CC"/>
    <w:rsid w:val="005C1AB7"/>
    <w:rsid w:val="005C2788"/>
    <w:rsid w:val="005C35D3"/>
    <w:rsid w:val="005C4A6B"/>
    <w:rsid w:val="005C4C32"/>
    <w:rsid w:val="005C5184"/>
    <w:rsid w:val="005C5706"/>
    <w:rsid w:val="005C61CC"/>
    <w:rsid w:val="005C7537"/>
    <w:rsid w:val="005D0232"/>
    <w:rsid w:val="005D10C1"/>
    <w:rsid w:val="005D1E73"/>
    <w:rsid w:val="005D2C36"/>
    <w:rsid w:val="005D2F44"/>
    <w:rsid w:val="005D33B6"/>
    <w:rsid w:val="005D3BC5"/>
    <w:rsid w:val="005D428E"/>
    <w:rsid w:val="005D42FA"/>
    <w:rsid w:val="005D54F1"/>
    <w:rsid w:val="005D6D35"/>
    <w:rsid w:val="005D7196"/>
    <w:rsid w:val="005D7439"/>
    <w:rsid w:val="005D7C86"/>
    <w:rsid w:val="005E1DCF"/>
    <w:rsid w:val="005E2416"/>
    <w:rsid w:val="005E2597"/>
    <w:rsid w:val="005E3780"/>
    <w:rsid w:val="005E41BC"/>
    <w:rsid w:val="005E4CAD"/>
    <w:rsid w:val="005E58B6"/>
    <w:rsid w:val="005E5E53"/>
    <w:rsid w:val="005E7A3F"/>
    <w:rsid w:val="005E7CF9"/>
    <w:rsid w:val="005F17AF"/>
    <w:rsid w:val="005F2248"/>
    <w:rsid w:val="005F2389"/>
    <w:rsid w:val="005F397A"/>
    <w:rsid w:val="005F4644"/>
    <w:rsid w:val="005F6A40"/>
    <w:rsid w:val="005F6CEA"/>
    <w:rsid w:val="005F7470"/>
    <w:rsid w:val="006001D7"/>
    <w:rsid w:val="00600949"/>
    <w:rsid w:val="00601A03"/>
    <w:rsid w:val="00601A24"/>
    <w:rsid w:val="0060208B"/>
    <w:rsid w:val="00602273"/>
    <w:rsid w:val="00602755"/>
    <w:rsid w:val="00603FF0"/>
    <w:rsid w:val="00605815"/>
    <w:rsid w:val="006059D3"/>
    <w:rsid w:val="00605C80"/>
    <w:rsid w:val="00606956"/>
    <w:rsid w:val="00610FDF"/>
    <w:rsid w:val="00612326"/>
    <w:rsid w:val="00612A3B"/>
    <w:rsid w:val="00613179"/>
    <w:rsid w:val="006140EE"/>
    <w:rsid w:val="00614863"/>
    <w:rsid w:val="00614B29"/>
    <w:rsid w:val="00616B98"/>
    <w:rsid w:val="006176A5"/>
    <w:rsid w:val="0061794F"/>
    <w:rsid w:val="00620504"/>
    <w:rsid w:val="00620D2B"/>
    <w:rsid w:val="0062172D"/>
    <w:rsid w:val="00622880"/>
    <w:rsid w:val="00622A39"/>
    <w:rsid w:val="00622B29"/>
    <w:rsid w:val="00623444"/>
    <w:rsid w:val="00623E88"/>
    <w:rsid w:val="006256E7"/>
    <w:rsid w:val="006259F6"/>
    <w:rsid w:val="00625DC2"/>
    <w:rsid w:val="00626959"/>
    <w:rsid w:val="00627541"/>
    <w:rsid w:val="00627810"/>
    <w:rsid w:val="00627FBE"/>
    <w:rsid w:val="00630634"/>
    <w:rsid w:val="006308E6"/>
    <w:rsid w:val="0063091E"/>
    <w:rsid w:val="00630C8B"/>
    <w:rsid w:val="00630D6D"/>
    <w:rsid w:val="006313B3"/>
    <w:rsid w:val="00631437"/>
    <w:rsid w:val="006316EE"/>
    <w:rsid w:val="00631C62"/>
    <w:rsid w:val="0063254A"/>
    <w:rsid w:val="00633AA4"/>
    <w:rsid w:val="00633B62"/>
    <w:rsid w:val="0063587C"/>
    <w:rsid w:val="00635DDB"/>
    <w:rsid w:val="006362EF"/>
    <w:rsid w:val="00636520"/>
    <w:rsid w:val="00636EBC"/>
    <w:rsid w:val="00637372"/>
    <w:rsid w:val="00637CBE"/>
    <w:rsid w:val="00637D90"/>
    <w:rsid w:val="00641094"/>
    <w:rsid w:val="0064170D"/>
    <w:rsid w:val="006424F5"/>
    <w:rsid w:val="00643A66"/>
    <w:rsid w:val="00644538"/>
    <w:rsid w:val="0064516A"/>
    <w:rsid w:val="00645434"/>
    <w:rsid w:val="0064614F"/>
    <w:rsid w:val="0064709B"/>
    <w:rsid w:val="00650EAB"/>
    <w:rsid w:val="00651073"/>
    <w:rsid w:val="006511C0"/>
    <w:rsid w:val="00651457"/>
    <w:rsid w:val="00651D3A"/>
    <w:rsid w:val="00652B46"/>
    <w:rsid w:val="00653E39"/>
    <w:rsid w:val="00655C2B"/>
    <w:rsid w:val="00655EAC"/>
    <w:rsid w:val="006562DD"/>
    <w:rsid w:val="006564A6"/>
    <w:rsid w:val="00660E42"/>
    <w:rsid w:val="0066115F"/>
    <w:rsid w:val="0066313E"/>
    <w:rsid w:val="006631C0"/>
    <w:rsid w:val="00663221"/>
    <w:rsid w:val="006642F9"/>
    <w:rsid w:val="00664313"/>
    <w:rsid w:val="0066466D"/>
    <w:rsid w:val="006653C7"/>
    <w:rsid w:val="006653DC"/>
    <w:rsid w:val="00665C27"/>
    <w:rsid w:val="0066680E"/>
    <w:rsid w:val="00666862"/>
    <w:rsid w:val="00667D44"/>
    <w:rsid w:val="0067022D"/>
    <w:rsid w:val="006703ED"/>
    <w:rsid w:val="00672E8B"/>
    <w:rsid w:val="00672FC6"/>
    <w:rsid w:val="00673689"/>
    <w:rsid w:val="00676DE2"/>
    <w:rsid w:val="00676DE5"/>
    <w:rsid w:val="00677C8B"/>
    <w:rsid w:val="00677EFB"/>
    <w:rsid w:val="00681354"/>
    <w:rsid w:val="00681747"/>
    <w:rsid w:val="00682311"/>
    <w:rsid w:val="00682921"/>
    <w:rsid w:val="00682927"/>
    <w:rsid w:val="00682EEC"/>
    <w:rsid w:val="00682F1A"/>
    <w:rsid w:val="006832D8"/>
    <w:rsid w:val="006848F1"/>
    <w:rsid w:val="00686A1C"/>
    <w:rsid w:val="00690622"/>
    <w:rsid w:val="006906C9"/>
    <w:rsid w:val="00690C0A"/>
    <w:rsid w:val="00691E72"/>
    <w:rsid w:val="0069261F"/>
    <w:rsid w:val="0069350E"/>
    <w:rsid w:val="0069394F"/>
    <w:rsid w:val="00693ACB"/>
    <w:rsid w:val="00695207"/>
    <w:rsid w:val="006959BA"/>
    <w:rsid w:val="00696669"/>
    <w:rsid w:val="00696762"/>
    <w:rsid w:val="0069686B"/>
    <w:rsid w:val="00697561"/>
    <w:rsid w:val="00697D34"/>
    <w:rsid w:val="006A0B72"/>
    <w:rsid w:val="006A15BA"/>
    <w:rsid w:val="006A19C3"/>
    <w:rsid w:val="006A1A3D"/>
    <w:rsid w:val="006A2413"/>
    <w:rsid w:val="006A4AA0"/>
    <w:rsid w:val="006A562D"/>
    <w:rsid w:val="006A56A8"/>
    <w:rsid w:val="006A7470"/>
    <w:rsid w:val="006A7ED0"/>
    <w:rsid w:val="006B10F0"/>
    <w:rsid w:val="006B14D5"/>
    <w:rsid w:val="006B1EB7"/>
    <w:rsid w:val="006B2149"/>
    <w:rsid w:val="006B2F6B"/>
    <w:rsid w:val="006B4B17"/>
    <w:rsid w:val="006B5BDB"/>
    <w:rsid w:val="006B6133"/>
    <w:rsid w:val="006B786A"/>
    <w:rsid w:val="006C0616"/>
    <w:rsid w:val="006C099E"/>
    <w:rsid w:val="006C1681"/>
    <w:rsid w:val="006C1CA1"/>
    <w:rsid w:val="006C2905"/>
    <w:rsid w:val="006C2B01"/>
    <w:rsid w:val="006C3604"/>
    <w:rsid w:val="006C39F6"/>
    <w:rsid w:val="006C48A9"/>
    <w:rsid w:val="006C4C28"/>
    <w:rsid w:val="006C5EB4"/>
    <w:rsid w:val="006C6483"/>
    <w:rsid w:val="006D105F"/>
    <w:rsid w:val="006D121D"/>
    <w:rsid w:val="006D245B"/>
    <w:rsid w:val="006D2B26"/>
    <w:rsid w:val="006D2D29"/>
    <w:rsid w:val="006D2DFD"/>
    <w:rsid w:val="006D3895"/>
    <w:rsid w:val="006D3DA6"/>
    <w:rsid w:val="006D6D31"/>
    <w:rsid w:val="006D74B5"/>
    <w:rsid w:val="006D74E6"/>
    <w:rsid w:val="006E2822"/>
    <w:rsid w:val="006E2B5F"/>
    <w:rsid w:val="006E3459"/>
    <w:rsid w:val="006E3D17"/>
    <w:rsid w:val="006E478C"/>
    <w:rsid w:val="006E4E60"/>
    <w:rsid w:val="006E5252"/>
    <w:rsid w:val="006E5481"/>
    <w:rsid w:val="006E690F"/>
    <w:rsid w:val="006E6A9F"/>
    <w:rsid w:val="006E7501"/>
    <w:rsid w:val="006E7C3B"/>
    <w:rsid w:val="006E7E8C"/>
    <w:rsid w:val="006E7F3B"/>
    <w:rsid w:val="006F0CF8"/>
    <w:rsid w:val="006F1AC5"/>
    <w:rsid w:val="006F1BBA"/>
    <w:rsid w:val="006F1D99"/>
    <w:rsid w:val="006F202A"/>
    <w:rsid w:val="006F2B25"/>
    <w:rsid w:val="006F341E"/>
    <w:rsid w:val="006F3B47"/>
    <w:rsid w:val="006F40BC"/>
    <w:rsid w:val="006F55DC"/>
    <w:rsid w:val="006F7109"/>
    <w:rsid w:val="007009F3"/>
    <w:rsid w:val="00700CB3"/>
    <w:rsid w:val="00701292"/>
    <w:rsid w:val="00701400"/>
    <w:rsid w:val="00701FC5"/>
    <w:rsid w:val="0070309B"/>
    <w:rsid w:val="00703CC7"/>
    <w:rsid w:val="007055B7"/>
    <w:rsid w:val="00705C75"/>
    <w:rsid w:val="00705E73"/>
    <w:rsid w:val="00707671"/>
    <w:rsid w:val="00710136"/>
    <w:rsid w:val="00710F26"/>
    <w:rsid w:val="00711800"/>
    <w:rsid w:val="00713DB2"/>
    <w:rsid w:val="0071614F"/>
    <w:rsid w:val="007169E9"/>
    <w:rsid w:val="007204D0"/>
    <w:rsid w:val="00720F26"/>
    <w:rsid w:val="00722BDC"/>
    <w:rsid w:val="00722C62"/>
    <w:rsid w:val="0072316E"/>
    <w:rsid w:val="0072548A"/>
    <w:rsid w:val="0072638D"/>
    <w:rsid w:val="007265EF"/>
    <w:rsid w:val="00727059"/>
    <w:rsid w:val="007271BA"/>
    <w:rsid w:val="00730340"/>
    <w:rsid w:val="0073135A"/>
    <w:rsid w:val="00731C28"/>
    <w:rsid w:val="00732D75"/>
    <w:rsid w:val="007336BF"/>
    <w:rsid w:val="00733834"/>
    <w:rsid w:val="00733846"/>
    <w:rsid w:val="00733EDB"/>
    <w:rsid w:val="00734062"/>
    <w:rsid w:val="00735040"/>
    <w:rsid w:val="00736BE1"/>
    <w:rsid w:val="00740BE6"/>
    <w:rsid w:val="00740FE7"/>
    <w:rsid w:val="007427E9"/>
    <w:rsid w:val="00743CB4"/>
    <w:rsid w:val="00744553"/>
    <w:rsid w:val="007449B5"/>
    <w:rsid w:val="0074512E"/>
    <w:rsid w:val="00745307"/>
    <w:rsid w:val="0075085A"/>
    <w:rsid w:val="00750D55"/>
    <w:rsid w:val="00751A3E"/>
    <w:rsid w:val="00751A73"/>
    <w:rsid w:val="00751F04"/>
    <w:rsid w:val="00752026"/>
    <w:rsid w:val="007528C7"/>
    <w:rsid w:val="00752D16"/>
    <w:rsid w:val="00752E69"/>
    <w:rsid w:val="00753B95"/>
    <w:rsid w:val="00753E9F"/>
    <w:rsid w:val="007540D3"/>
    <w:rsid w:val="00754256"/>
    <w:rsid w:val="00755341"/>
    <w:rsid w:val="007557D9"/>
    <w:rsid w:val="00755BEA"/>
    <w:rsid w:val="00755E8E"/>
    <w:rsid w:val="00755FFC"/>
    <w:rsid w:val="00761597"/>
    <w:rsid w:val="00761DBD"/>
    <w:rsid w:val="00761E4A"/>
    <w:rsid w:val="00766A60"/>
    <w:rsid w:val="007701DB"/>
    <w:rsid w:val="00770864"/>
    <w:rsid w:val="0077105F"/>
    <w:rsid w:val="0077145F"/>
    <w:rsid w:val="00771E7E"/>
    <w:rsid w:val="00772240"/>
    <w:rsid w:val="00773337"/>
    <w:rsid w:val="007766A0"/>
    <w:rsid w:val="00776C33"/>
    <w:rsid w:val="0077790F"/>
    <w:rsid w:val="007779A3"/>
    <w:rsid w:val="00777C05"/>
    <w:rsid w:val="00777F42"/>
    <w:rsid w:val="0078169E"/>
    <w:rsid w:val="007817EB"/>
    <w:rsid w:val="00781E55"/>
    <w:rsid w:val="007820D0"/>
    <w:rsid w:val="007837BD"/>
    <w:rsid w:val="00785E90"/>
    <w:rsid w:val="00785F7F"/>
    <w:rsid w:val="00786BFD"/>
    <w:rsid w:val="00791341"/>
    <w:rsid w:val="00791F1B"/>
    <w:rsid w:val="00793E2F"/>
    <w:rsid w:val="007948A9"/>
    <w:rsid w:val="00794938"/>
    <w:rsid w:val="007953A4"/>
    <w:rsid w:val="007960BF"/>
    <w:rsid w:val="007973B3"/>
    <w:rsid w:val="007976BB"/>
    <w:rsid w:val="007978A9"/>
    <w:rsid w:val="00797F17"/>
    <w:rsid w:val="007A023D"/>
    <w:rsid w:val="007A02B9"/>
    <w:rsid w:val="007A04E9"/>
    <w:rsid w:val="007A0ABE"/>
    <w:rsid w:val="007A112B"/>
    <w:rsid w:val="007A15F5"/>
    <w:rsid w:val="007A1B1B"/>
    <w:rsid w:val="007A20AA"/>
    <w:rsid w:val="007A3443"/>
    <w:rsid w:val="007A4B47"/>
    <w:rsid w:val="007A4F69"/>
    <w:rsid w:val="007A53E5"/>
    <w:rsid w:val="007A578C"/>
    <w:rsid w:val="007A5A88"/>
    <w:rsid w:val="007A5F47"/>
    <w:rsid w:val="007A5FDD"/>
    <w:rsid w:val="007A74BA"/>
    <w:rsid w:val="007B0076"/>
    <w:rsid w:val="007B065D"/>
    <w:rsid w:val="007B08CA"/>
    <w:rsid w:val="007B0C31"/>
    <w:rsid w:val="007B0F71"/>
    <w:rsid w:val="007B1592"/>
    <w:rsid w:val="007B24C2"/>
    <w:rsid w:val="007B38A0"/>
    <w:rsid w:val="007B51F2"/>
    <w:rsid w:val="007B57E2"/>
    <w:rsid w:val="007B5FD3"/>
    <w:rsid w:val="007B67C0"/>
    <w:rsid w:val="007B6B26"/>
    <w:rsid w:val="007B7A67"/>
    <w:rsid w:val="007C16A4"/>
    <w:rsid w:val="007C4F22"/>
    <w:rsid w:val="007C5201"/>
    <w:rsid w:val="007C582A"/>
    <w:rsid w:val="007C7FE1"/>
    <w:rsid w:val="007D0C00"/>
    <w:rsid w:val="007D0C63"/>
    <w:rsid w:val="007D16FE"/>
    <w:rsid w:val="007D3208"/>
    <w:rsid w:val="007D3DE6"/>
    <w:rsid w:val="007D4198"/>
    <w:rsid w:val="007D68C8"/>
    <w:rsid w:val="007D6BDF"/>
    <w:rsid w:val="007D6F81"/>
    <w:rsid w:val="007D7C09"/>
    <w:rsid w:val="007E0046"/>
    <w:rsid w:val="007E085D"/>
    <w:rsid w:val="007E104B"/>
    <w:rsid w:val="007E35F4"/>
    <w:rsid w:val="007E4450"/>
    <w:rsid w:val="007E4A9C"/>
    <w:rsid w:val="007E52C9"/>
    <w:rsid w:val="007E59EA"/>
    <w:rsid w:val="007E6EF3"/>
    <w:rsid w:val="007F0A93"/>
    <w:rsid w:val="007F0AB0"/>
    <w:rsid w:val="007F23E8"/>
    <w:rsid w:val="007F4539"/>
    <w:rsid w:val="007F46B7"/>
    <w:rsid w:val="007F5312"/>
    <w:rsid w:val="007F589F"/>
    <w:rsid w:val="007F62F1"/>
    <w:rsid w:val="007F6821"/>
    <w:rsid w:val="007F6F81"/>
    <w:rsid w:val="00800F74"/>
    <w:rsid w:val="00801FC0"/>
    <w:rsid w:val="00802892"/>
    <w:rsid w:val="00802950"/>
    <w:rsid w:val="00802B67"/>
    <w:rsid w:val="008032A0"/>
    <w:rsid w:val="00806015"/>
    <w:rsid w:val="00806502"/>
    <w:rsid w:val="008104F7"/>
    <w:rsid w:val="008117A7"/>
    <w:rsid w:val="0081280E"/>
    <w:rsid w:val="00812D7B"/>
    <w:rsid w:val="00812FDD"/>
    <w:rsid w:val="00814F25"/>
    <w:rsid w:val="00815A67"/>
    <w:rsid w:val="008169A7"/>
    <w:rsid w:val="008175FE"/>
    <w:rsid w:val="00817DB0"/>
    <w:rsid w:val="00817ED8"/>
    <w:rsid w:val="00821BB3"/>
    <w:rsid w:val="00824584"/>
    <w:rsid w:val="00824ACB"/>
    <w:rsid w:val="008263A8"/>
    <w:rsid w:val="008264A3"/>
    <w:rsid w:val="008268CF"/>
    <w:rsid w:val="0082694E"/>
    <w:rsid w:val="00827630"/>
    <w:rsid w:val="00827D9F"/>
    <w:rsid w:val="00827FC2"/>
    <w:rsid w:val="00830B8E"/>
    <w:rsid w:val="008311E6"/>
    <w:rsid w:val="008315D2"/>
    <w:rsid w:val="00831F41"/>
    <w:rsid w:val="008321FD"/>
    <w:rsid w:val="0083339B"/>
    <w:rsid w:val="008343DE"/>
    <w:rsid w:val="0083451A"/>
    <w:rsid w:val="008346D0"/>
    <w:rsid w:val="00834B67"/>
    <w:rsid w:val="00834FD5"/>
    <w:rsid w:val="0083598C"/>
    <w:rsid w:val="00836A31"/>
    <w:rsid w:val="008370DE"/>
    <w:rsid w:val="008376C1"/>
    <w:rsid w:val="00837928"/>
    <w:rsid w:val="00837AEF"/>
    <w:rsid w:val="00840485"/>
    <w:rsid w:val="008406FC"/>
    <w:rsid w:val="0084074D"/>
    <w:rsid w:val="00840B0C"/>
    <w:rsid w:val="00841116"/>
    <w:rsid w:val="008423DE"/>
    <w:rsid w:val="008430B6"/>
    <w:rsid w:val="00845406"/>
    <w:rsid w:val="0084579D"/>
    <w:rsid w:val="00845DF4"/>
    <w:rsid w:val="0084628E"/>
    <w:rsid w:val="008462DD"/>
    <w:rsid w:val="00850248"/>
    <w:rsid w:val="0085208E"/>
    <w:rsid w:val="0085235E"/>
    <w:rsid w:val="0085333A"/>
    <w:rsid w:val="008540EF"/>
    <w:rsid w:val="00854698"/>
    <w:rsid w:val="008553B5"/>
    <w:rsid w:val="00857259"/>
    <w:rsid w:val="00860012"/>
    <w:rsid w:val="008601D0"/>
    <w:rsid w:val="00860DDD"/>
    <w:rsid w:val="00860EDB"/>
    <w:rsid w:val="0086168D"/>
    <w:rsid w:val="0086186C"/>
    <w:rsid w:val="00861987"/>
    <w:rsid w:val="00861CDA"/>
    <w:rsid w:val="00861DD9"/>
    <w:rsid w:val="0086209A"/>
    <w:rsid w:val="008629DB"/>
    <w:rsid w:val="00863F5C"/>
    <w:rsid w:val="00864646"/>
    <w:rsid w:val="008648F5"/>
    <w:rsid w:val="008649CC"/>
    <w:rsid w:val="00864B51"/>
    <w:rsid w:val="008652AC"/>
    <w:rsid w:val="00865379"/>
    <w:rsid w:val="008657DE"/>
    <w:rsid w:val="008657FD"/>
    <w:rsid w:val="00865BE9"/>
    <w:rsid w:val="00865CBB"/>
    <w:rsid w:val="00865CEF"/>
    <w:rsid w:val="00866CF4"/>
    <w:rsid w:val="00867BF4"/>
    <w:rsid w:val="00870210"/>
    <w:rsid w:val="0087035D"/>
    <w:rsid w:val="00870ACB"/>
    <w:rsid w:val="00870FA4"/>
    <w:rsid w:val="00871065"/>
    <w:rsid w:val="008716D3"/>
    <w:rsid w:val="00872177"/>
    <w:rsid w:val="008740CE"/>
    <w:rsid w:val="00875483"/>
    <w:rsid w:val="008775F8"/>
    <w:rsid w:val="00877F34"/>
    <w:rsid w:val="0088029F"/>
    <w:rsid w:val="008813A9"/>
    <w:rsid w:val="008815A2"/>
    <w:rsid w:val="008832C9"/>
    <w:rsid w:val="0088509F"/>
    <w:rsid w:val="008859A3"/>
    <w:rsid w:val="00885C53"/>
    <w:rsid w:val="00886B18"/>
    <w:rsid w:val="00887300"/>
    <w:rsid w:val="0088786D"/>
    <w:rsid w:val="00887C6D"/>
    <w:rsid w:val="00887EFE"/>
    <w:rsid w:val="00891F9C"/>
    <w:rsid w:val="00892455"/>
    <w:rsid w:val="00892467"/>
    <w:rsid w:val="0089250D"/>
    <w:rsid w:val="00892B92"/>
    <w:rsid w:val="0089480E"/>
    <w:rsid w:val="00895074"/>
    <w:rsid w:val="00895E2F"/>
    <w:rsid w:val="00896E42"/>
    <w:rsid w:val="0089779A"/>
    <w:rsid w:val="008A038F"/>
    <w:rsid w:val="008A0DE0"/>
    <w:rsid w:val="008A18D1"/>
    <w:rsid w:val="008A1BB8"/>
    <w:rsid w:val="008A3545"/>
    <w:rsid w:val="008A3C4D"/>
    <w:rsid w:val="008A4D02"/>
    <w:rsid w:val="008A4D1F"/>
    <w:rsid w:val="008A61C4"/>
    <w:rsid w:val="008A6D2E"/>
    <w:rsid w:val="008A75B8"/>
    <w:rsid w:val="008A7682"/>
    <w:rsid w:val="008B0C2B"/>
    <w:rsid w:val="008B1789"/>
    <w:rsid w:val="008B18B7"/>
    <w:rsid w:val="008B1C0B"/>
    <w:rsid w:val="008B1ECC"/>
    <w:rsid w:val="008B29B0"/>
    <w:rsid w:val="008B3A33"/>
    <w:rsid w:val="008B51B8"/>
    <w:rsid w:val="008B58D2"/>
    <w:rsid w:val="008B6838"/>
    <w:rsid w:val="008B68D1"/>
    <w:rsid w:val="008B69B7"/>
    <w:rsid w:val="008B7518"/>
    <w:rsid w:val="008B7C7E"/>
    <w:rsid w:val="008C0147"/>
    <w:rsid w:val="008C0E63"/>
    <w:rsid w:val="008C225D"/>
    <w:rsid w:val="008C29E2"/>
    <w:rsid w:val="008C2FC9"/>
    <w:rsid w:val="008C3C25"/>
    <w:rsid w:val="008C4B37"/>
    <w:rsid w:val="008C4EA9"/>
    <w:rsid w:val="008C7A16"/>
    <w:rsid w:val="008D0A28"/>
    <w:rsid w:val="008D17E2"/>
    <w:rsid w:val="008D259D"/>
    <w:rsid w:val="008D265F"/>
    <w:rsid w:val="008D2E2A"/>
    <w:rsid w:val="008D2EA8"/>
    <w:rsid w:val="008D2EE6"/>
    <w:rsid w:val="008D347F"/>
    <w:rsid w:val="008D3A07"/>
    <w:rsid w:val="008D7001"/>
    <w:rsid w:val="008E1054"/>
    <w:rsid w:val="008E1257"/>
    <w:rsid w:val="008E130A"/>
    <w:rsid w:val="008E2020"/>
    <w:rsid w:val="008E21E8"/>
    <w:rsid w:val="008E2386"/>
    <w:rsid w:val="008E2840"/>
    <w:rsid w:val="008E2C24"/>
    <w:rsid w:val="008E2FC6"/>
    <w:rsid w:val="008E46A3"/>
    <w:rsid w:val="008E4B0F"/>
    <w:rsid w:val="008E5A81"/>
    <w:rsid w:val="008E5FE9"/>
    <w:rsid w:val="008E661C"/>
    <w:rsid w:val="008E6808"/>
    <w:rsid w:val="008E69FA"/>
    <w:rsid w:val="008E7A21"/>
    <w:rsid w:val="008F0059"/>
    <w:rsid w:val="008F0EF4"/>
    <w:rsid w:val="008F152E"/>
    <w:rsid w:val="008F1C85"/>
    <w:rsid w:val="008F3392"/>
    <w:rsid w:val="008F3D7F"/>
    <w:rsid w:val="008F565E"/>
    <w:rsid w:val="008F5CD0"/>
    <w:rsid w:val="008F5EAA"/>
    <w:rsid w:val="008F63CF"/>
    <w:rsid w:val="008F6ABB"/>
    <w:rsid w:val="008F6E91"/>
    <w:rsid w:val="008F76C7"/>
    <w:rsid w:val="008F7E5D"/>
    <w:rsid w:val="00900443"/>
    <w:rsid w:val="009006AB"/>
    <w:rsid w:val="00901275"/>
    <w:rsid w:val="009015E2"/>
    <w:rsid w:val="00901C8B"/>
    <w:rsid w:val="0090232F"/>
    <w:rsid w:val="009023FC"/>
    <w:rsid w:val="00902A6D"/>
    <w:rsid w:val="009054F7"/>
    <w:rsid w:val="00905C1B"/>
    <w:rsid w:val="0090616C"/>
    <w:rsid w:val="0090778B"/>
    <w:rsid w:val="00910DF0"/>
    <w:rsid w:val="0091192E"/>
    <w:rsid w:val="009127EA"/>
    <w:rsid w:val="009127F9"/>
    <w:rsid w:val="0091339A"/>
    <w:rsid w:val="009134BC"/>
    <w:rsid w:val="00914570"/>
    <w:rsid w:val="00917535"/>
    <w:rsid w:val="00917CA4"/>
    <w:rsid w:val="009206D7"/>
    <w:rsid w:val="00920B78"/>
    <w:rsid w:val="00921198"/>
    <w:rsid w:val="009213A7"/>
    <w:rsid w:val="00923CEF"/>
    <w:rsid w:val="00923F1E"/>
    <w:rsid w:val="00925075"/>
    <w:rsid w:val="009256CC"/>
    <w:rsid w:val="00925EC5"/>
    <w:rsid w:val="0092725D"/>
    <w:rsid w:val="00933AAD"/>
    <w:rsid w:val="0093440D"/>
    <w:rsid w:val="00936849"/>
    <w:rsid w:val="009371FC"/>
    <w:rsid w:val="00937E2F"/>
    <w:rsid w:val="00937FA2"/>
    <w:rsid w:val="0094002D"/>
    <w:rsid w:val="009400D0"/>
    <w:rsid w:val="009423C2"/>
    <w:rsid w:val="00944118"/>
    <w:rsid w:val="00944D5F"/>
    <w:rsid w:val="00944F4F"/>
    <w:rsid w:val="00946581"/>
    <w:rsid w:val="0094717C"/>
    <w:rsid w:val="00951E85"/>
    <w:rsid w:val="009523EF"/>
    <w:rsid w:val="00952D03"/>
    <w:rsid w:val="00952D83"/>
    <w:rsid w:val="009543DE"/>
    <w:rsid w:val="009551B4"/>
    <w:rsid w:val="00955D40"/>
    <w:rsid w:val="00955FB6"/>
    <w:rsid w:val="009571A8"/>
    <w:rsid w:val="00957BC8"/>
    <w:rsid w:val="00957D76"/>
    <w:rsid w:val="00957E3E"/>
    <w:rsid w:val="00960061"/>
    <w:rsid w:val="00960079"/>
    <w:rsid w:val="009605B3"/>
    <w:rsid w:val="00963E95"/>
    <w:rsid w:val="00963ED6"/>
    <w:rsid w:val="00964190"/>
    <w:rsid w:val="00965265"/>
    <w:rsid w:val="009654DF"/>
    <w:rsid w:val="0096599E"/>
    <w:rsid w:val="009669B9"/>
    <w:rsid w:val="00967472"/>
    <w:rsid w:val="0097202F"/>
    <w:rsid w:val="00973148"/>
    <w:rsid w:val="00973910"/>
    <w:rsid w:val="00974156"/>
    <w:rsid w:val="0097435F"/>
    <w:rsid w:val="00975768"/>
    <w:rsid w:val="00975C47"/>
    <w:rsid w:val="00976BB5"/>
    <w:rsid w:val="00977DD5"/>
    <w:rsid w:val="00980498"/>
    <w:rsid w:val="00982428"/>
    <w:rsid w:val="009824A8"/>
    <w:rsid w:val="00982734"/>
    <w:rsid w:val="009847BA"/>
    <w:rsid w:val="00984B68"/>
    <w:rsid w:val="009871BE"/>
    <w:rsid w:val="00987CF4"/>
    <w:rsid w:val="00990410"/>
    <w:rsid w:val="009905D7"/>
    <w:rsid w:val="00991994"/>
    <w:rsid w:val="00991C5C"/>
    <w:rsid w:val="00992342"/>
    <w:rsid w:val="0099448B"/>
    <w:rsid w:val="009951DD"/>
    <w:rsid w:val="00995206"/>
    <w:rsid w:val="0099610B"/>
    <w:rsid w:val="00996B12"/>
    <w:rsid w:val="009A008F"/>
    <w:rsid w:val="009A036F"/>
    <w:rsid w:val="009A190D"/>
    <w:rsid w:val="009A20A3"/>
    <w:rsid w:val="009A3D0F"/>
    <w:rsid w:val="009A3D46"/>
    <w:rsid w:val="009A5525"/>
    <w:rsid w:val="009A67B2"/>
    <w:rsid w:val="009A75F0"/>
    <w:rsid w:val="009B015E"/>
    <w:rsid w:val="009B0325"/>
    <w:rsid w:val="009B04F9"/>
    <w:rsid w:val="009B1831"/>
    <w:rsid w:val="009B19CA"/>
    <w:rsid w:val="009B218F"/>
    <w:rsid w:val="009B253C"/>
    <w:rsid w:val="009B271D"/>
    <w:rsid w:val="009B2CE2"/>
    <w:rsid w:val="009B4F26"/>
    <w:rsid w:val="009B50D9"/>
    <w:rsid w:val="009B572C"/>
    <w:rsid w:val="009B58AC"/>
    <w:rsid w:val="009B6C68"/>
    <w:rsid w:val="009C0275"/>
    <w:rsid w:val="009C034E"/>
    <w:rsid w:val="009C0A65"/>
    <w:rsid w:val="009C3417"/>
    <w:rsid w:val="009C49F8"/>
    <w:rsid w:val="009C704C"/>
    <w:rsid w:val="009D01FA"/>
    <w:rsid w:val="009D048C"/>
    <w:rsid w:val="009D1234"/>
    <w:rsid w:val="009D123A"/>
    <w:rsid w:val="009D2B63"/>
    <w:rsid w:val="009D610D"/>
    <w:rsid w:val="009D66A6"/>
    <w:rsid w:val="009D7023"/>
    <w:rsid w:val="009D7060"/>
    <w:rsid w:val="009D7D53"/>
    <w:rsid w:val="009E11CA"/>
    <w:rsid w:val="009E1B84"/>
    <w:rsid w:val="009E2694"/>
    <w:rsid w:val="009E2B59"/>
    <w:rsid w:val="009E4056"/>
    <w:rsid w:val="009E43EB"/>
    <w:rsid w:val="009E5878"/>
    <w:rsid w:val="009E5B18"/>
    <w:rsid w:val="009E65F2"/>
    <w:rsid w:val="009E6734"/>
    <w:rsid w:val="009E720A"/>
    <w:rsid w:val="009E7229"/>
    <w:rsid w:val="009E7D5E"/>
    <w:rsid w:val="009F0ADC"/>
    <w:rsid w:val="009F1EBC"/>
    <w:rsid w:val="009F2F5F"/>
    <w:rsid w:val="009F342E"/>
    <w:rsid w:val="009F3D1F"/>
    <w:rsid w:val="009F3ED5"/>
    <w:rsid w:val="009F449C"/>
    <w:rsid w:val="009F487C"/>
    <w:rsid w:val="009F4DC0"/>
    <w:rsid w:val="009F59C8"/>
    <w:rsid w:val="009F61D2"/>
    <w:rsid w:val="009F6819"/>
    <w:rsid w:val="009F7494"/>
    <w:rsid w:val="009F7D43"/>
    <w:rsid w:val="009F7EDA"/>
    <w:rsid w:val="00A0006E"/>
    <w:rsid w:val="00A01021"/>
    <w:rsid w:val="00A01E9F"/>
    <w:rsid w:val="00A01F34"/>
    <w:rsid w:val="00A0235E"/>
    <w:rsid w:val="00A02B2B"/>
    <w:rsid w:val="00A03B6A"/>
    <w:rsid w:val="00A11A6A"/>
    <w:rsid w:val="00A12077"/>
    <w:rsid w:val="00A14F90"/>
    <w:rsid w:val="00A15FEB"/>
    <w:rsid w:val="00A17230"/>
    <w:rsid w:val="00A200F0"/>
    <w:rsid w:val="00A209D5"/>
    <w:rsid w:val="00A210FD"/>
    <w:rsid w:val="00A215EA"/>
    <w:rsid w:val="00A22927"/>
    <w:rsid w:val="00A23601"/>
    <w:rsid w:val="00A23B9A"/>
    <w:rsid w:val="00A240FE"/>
    <w:rsid w:val="00A25786"/>
    <w:rsid w:val="00A30DD3"/>
    <w:rsid w:val="00A32751"/>
    <w:rsid w:val="00A33467"/>
    <w:rsid w:val="00A352F5"/>
    <w:rsid w:val="00A357FC"/>
    <w:rsid w:val="00A358B1"/>
    <w:rsid w:val="00A36BE2"/>
    <w:rsid w:val="00A401D9"/>
    <w:rsid w:val="00A40EAC"/>
    <w:rsid w:val="00A4417F"/>
    <w:rsid w:val="00A44EF4"/>
    <w:rsid w:val="00A45938"/>
    <w:rsid w:val="00A46338"/>
    <w:rsid w:val="00A463BA"/>
    <w:rsid w:val="00A47249"/>
    <w:rsid w:val="00A47786"/>
    <w:rsid w:val="00A47E07"/>
    <w:rsid w:val="00A500F7"/>
    <w:rsid w:val="00A52376"/>
    <w:rsid w:val="00A54325"/>
    <w:rsid w:val="00A552ED"/>
    <w:rsid w:val="00A556E2"/>
    <w:rsid w:val="00A56825"/>
    <w:rsid w:val="00A56F57"/>
    <w:rsid w:val="00A600A1"/>
    <w:rsid w:val="00A60B89"/>
    <w:rsid w:val="00A6184A"/>
    <w:rsid w:val="00A618B7"/>
    <w:rsid w:val="00A618F1"/>
    <w:rsid w:val="00A622C1"/>
    <w:rsid w:val="00A62343"/>
    <w:rsid w:val="00A62CF5"/>
    <w:rsid w:val="00A63051"/>
    <w:rsid w:val="00A635D0"/>
    <w:rsid w:val="00A648CE"/>
    <w:rsid w:val="00A65690"/>
    <w:rsid w:val="00A66C83"/>
    <w:rsid w:val="00A716AE"/>
    <w:rsid w:val="00A7194A"/>
    <w:rsid w:val="00A71BE7"/>
    <w:rsid w:val="00A72A2F"/>
    <w:rsid w:val="00A72A39"/>
    <w:rsid w:val="00A73E5A"/>
    <w:rsid w:val="00A741BF"/>
    <w:rsid w:val="00A746EB"/>
    <w:rsid w:val="00A74CD1"/>
    <w:rsid w:val="00A75684"/>
    <w:rsid w:val="00A7797A"/>
    <w:rsid w:val="00A8120C"/>
    <w:rsid w:val="00A82611"/>
    <w:rsid w:val="00A83B6A"/>
    <w:rsid w:val="00A841A8"/>
    <w:rsid w:val="00A852FC"/>
    <w:rsid w:val="00A85B35"/>
    <w:rsid w:val="00A86D0C"/>
    <w:rsid w:val="00A87C0A"/>
    <w:rsid w:val="00A92C31"/>
    <w:rsid w:val="00A93443"/>
    <w:rsid w:val="00A93B32"/>
    <w:rsid w:val="00A93DE4"/>
    <w:rsid w:val="00A947BA"/>
    <w:rsid w:val="00A94981"/>
    <w:rsid w:val="00A95532"/>
    <w:rsid w:val="00A958BE"/>
    <w:rsid w:val="00A9640F"/>
    <w:rsid w:val="00A96855"/>
    <w:rsid w:val="00A96A7D"/>
    <w:rsid w:val="00A96C19"/>
    <w:rsid w:val="00A9763D"/>
    <w:rsid w:val="00AA0C60"/>
    <w:rsid w:val="00AA1A08"/>
    <w:rsid w:val="00AA2277"/>
    <w:rsid w:val="00AA6BC7"/>
    <w:rsid w:val="00AA6E91"/>
    <w:rsid w:val="00AA788F"/>
    <w:rsid w:val="00AA79BF"/>
    <w:rsid w:val="00AB0D9C"/>
    <w:rsid w:val="00AB151A"/>
    <w:rsid w:val="00AB1B23"/>
    <w:rsid w:val="00AB29DF"/>
    <w:rsid w:val="00AB3DAC"/>
    <w:rsid w:val="00AB46D3"/>
    <w:rsid w:val="00AB52D4"/>
    <w:rsid w:val="00AB5A88"/>
    <w:rsid w:val="00AB5C0E"/>
    <w:rsid w:val="00AB6B07"/>
    <w:rsid w:val="00AB6C46"/>
    <w:rsid w:val="00AB7671"/>
    <w:rsid w:val="00AC02A1"/>
    <w:rsid w:val="00AC11BD"/>
    <w:rsid w:val="00AC129A"/>
    <w:rsid w:val="00AC1E8D"/>
    <w:rsid w:val="00AC4EA4"/>
    <w:rsid w:val="00AC67FD"/>
    <w:rsid w:val="00AC691E"/>
    <w:rsid w:val="00AC7761"/>
    <w:rsid w:val="00AD0085"/>
    <w:rsid w:val="00AD0C75"/>
    <w:rsid w:val="00AD0F2A"/>
    <w:rsid w:val="00AD0F32"/>
    <w:rsid w:val="00AD0F7E"/>
    <w:rsid w:val="00AD2434"/>
    <w:rsid w:val="00AD2701"/>
    <w:rsid w:val="00AD2AB8"/>
    <w:rsid w:val="00AD31F0"/>
    <w:rsid w:val="00AD3230"/>
    <w:rsid w:val="00AD3F6C"/>
    <w:rsid w:val="00AD43F2"/>
    <w:rsid w:val="00AD5078"/>
    <w:rsid w:val="00AD5160"/>
    <w:rsid w:val="00AD57EE"/>
    <w:rsid w:val="00AD5CA9"/>
    <w:rsid w:val="00AD7F86"/>
    <w:rsid w:val="00AE066E"/>
    <w:rsid w:val="00AE0BD2"/>
    <w:rsid w:val="00AE1AD1"/>
    <w:rsid w:val="00AE21EF"/>
    <w:rsid w:val="00AE3D86"/>
    <w:rsid w:val="00AE48A2"/>
    <w:rsid w:val="00AE78DA"/>
    <w:rsid w:val="00AF09F6"/>
    <w:rsid w:val="00AF32C3"/>
    <w:rsid w:val="00AF341F"/>
    <w:rsid w:val="00AF3891"/>
    <w:rsid w:val="00AF3BA7"/>
    <w:rsid w:val="00AF4631"/>
    <w:rsid w:val="00AF4BB3"/>
    <w:rsid w:val="00AF5108"/>
    <w:rsid w:val="00AF5733"/>
    <w:rsid w:val="00AF573A"/>
    <w:rsid w:val="00AF60EE"/>
    <w:rsid w:val="00AF648D"/>
    <w:rsid w:val="00AF64F2"/>
    <w:rsid w:val="00AF6C8E"/>
    <w:rsid w:val="00AF7135"/>
    <w:rsid w:val="00AF71F9"/>
    <w:rsid w:val="00AF7761"/>
    <w:rsid w:val="00B002E1"/>
    <w:rsid w:val="00B00B2D"/>
    <w:rsid w:val="00B01030"/>
    <w:rsid w:val="00B017FE"/>
    <w:rsid w:val="00B02190"/>
    <w:rsid w:val="00B022E6"/>
    <w:rsid w:val="00B0266B"/>
    <w:rsid w:val="00B03B55"/>
    <w:rsid w:val="00B03E6B"/>
    <w:rsid w:val="00B04219"/>
    <w:rsid w:val="00B04C32"/>
    <w:rsid w:val="00B05D3A"/>
    <w:rsid w:val="00B05DE1"/>
    <w:rsid w:val="00B07DF6"/>
    <w:rsid w:val="00B10174"/>
    <w:rsid w:val="00B10B44"/>
    <w:rsid w:val="00B11593"/>
    <w:rsid w:val="00B1211C"/>
    <w:rsid w:val="00B1251D"/>
    <w:rsid w:val="00B126CD"/>
    <w:rsid w:val="00B12BD3"/>
    <w:rsid w:val="00B13C4F"/>
    <w:rsid w:val="00B1453B"/>
    <w:rsid w:val="00B15CDA"/>
    <w:rsid w:val="00B16FD0"/>
    <w:rsid w:val="00B170BF"/>
    <w:rsid w:val="00B172F6"/>
    <w:rsid w:val="00B1740E"/>
    <w:rsid w:val="00B17429"/>
    <w:rsid w:val="00B17BDE"/>
    <w:rsid w:val="00B20158"/>
    <w:rsid w:val="00B221B3"/>
    <w:rsid w:val="00B22B01"/>
    <w:rsid w:val="00B232D7"/>
    <w:rsid w:val="00B2484A"/>
    <w:rsid w:val="00B25070"/>
    <w:rsid w:val="00B25688"/>
    <w:rsid w:val="00B27DF5"/>
    <w:rsid w:val="00B3061B"/>
    <w:rsid w:val="00B307D8"/>
    <w:rsid w:val="00B3111D"/>
    <w:rsid w:val="00B32764"/>
    <w:rsid w:val="00B33546"/>
    <w:rsid w:val="00B34606"/>
    <w:rsid w:val="00B359A6"/>
    <w:rsid w:val="00B36C6A"/>
    <w:rsid w:val="00B41FC4"/>
    <w:rsid w:val="00B43E6B"/>
    <w:rsid w:val="00B452D5"/>
    <w:rsid w:val="00B45C02"/>
    <w:rsid w:val="00B46BA0"/>
    <w:rsid w:val="00B47698"/>
    <w:rsid w:val="00B479E5"/>
    <w:rsid w:val="00B50C4E"/>
    <w:rsid w:val="00B50D51"/>
    <w:rsid w:val="00B5108A"/>
    <w:rsid w:val="00B5115A"/>
    <w:rsid w:val="00B51955"/>
    <w:rsid w:val="00B5267F"/>
    <w:rsid w:val="00B5273F"/>
    <w:rsid w:val="00B540DB"/>
    <w:rsid w:val="00B567BF"/>
    <w:rsid w:val="00B573B1"/>
    <w:rsid w:val="00B60915"/>
    <w:rsid w:val="00B61F19"/>
    <w:rsid w:val="00B6204D"/>
    <w:rsid w:val="00B62486"/>
    <w:rsid w:val="00B62A81"/>
    <w:rsid w:val="00B65639"/>
    <w:rsid w:val="00B66B60"/>
    <w:rsid w:val="00B67291"/>
    <w:rsid w:val="00B676B4"/>
    <w:rsid w:val="00B714F5"/>
    <w:rsid w:val="00B72C70"/>
    <w:rsid w:val="00B7323E"/>
    <w:rsid w:val="00B73F9E"/>
    <w:rsid w:val="00B752E4"/>
    <w:rsid w:val="00B76090"/>
    <w:rsid w:val="00B764C3"/>
    <w:rsid w:val="00B809C8"/>
    <w:rsid w:val="00B815DE"/>
    <w:rsid w:val="00B82EFA"/>
    <w:rsid w:val="00B82F7E"/>
    <w:rsid w:val="00B82F89"/>
    <w:rsid w:val="00B84145"/>
    <w:rsid w:val="00B8536B"/>
    <w:rsid w:val="00B8557A"/>
    <w:rsid w:val="00B85AD6"/>
    <w:rsid w:val="00B85BD8"/>
    <w:rsid w:val="00B86100"/>
    <w:rsid w:val="00B8686D"/>
    <w:rsid w:val="00B87951"/>
    <w:rsid w:val="00B87E60"/>
    <w:rsid w:val="00B90FB0"/>
    <w:rsid w:val="00B918A4"/>
    <w:rsid w:val="00B91A7C"/>
    <w:rsid w:val="00B920EA"/>
    <w:rsid w:val="00B93DBA"/>
    <w:rsid w:val="00B9446E"/>
    <w:rsid w:val="00B94CC3"/>
    <w:rsid w:val="00B94D56"/>
    <w:rsid w:val="00B9580A"/>
    <w:rsid w:val="00B97692"/>
    <w:rsid w:val="00BA1413"/>
    <w:rsid w:val="00BA1F39"/>
    <w:rsid w:val="00BA38E3"/>
    <w:rsid w:val="00BA47C8"/>
    <w:rsid w:val="00BA5503"/>
    <w:rsid w:val="00BA6F21"/>
    <w:rsid w:val="00BA7C60"/>
    <w:rsid w:val="00BB0385"/>
    <w:rsid w:val="00BB050E"/>
    <w:rsid w:val="00BB0B31"/>
    <w:rsid w:val="00BB1188"/>
    <w:rsid w:val="00BB1F8E"/>
    <w:rsid w:val="00BB2240"/>
    <w:rsid w:val="00BB33F1"/>
    <w:rsid w:val="00BB3972"/>
    <w:rsid w:val="00BB43C2"/>
    <w:rsid w:val="00BB45B4"/>
    <w:rsid w:val="00BB47DD"/>
    <w:rsid w:val="00BB6F3E"/>
    <w:rsid w:val="00BB76B2"/>
    <w:rsid w:val="00BB7746"/>
    <w:rsid w:val="00BB7BF4"/>
    <w:rsid w:val="00BC0704"/>
    <w:rsid w:val="00BC082B"/>
    <w:rsid w:val="00BC085F"/>
    <w:rsid w:val="00BC1CBD"/>
    <w:rsid w:val="00BC1F7D"/>
    <w:rsid w:val="00BC3E5C"/>
    <w:rsid w:val="00BC64C7"/>
    <w:rsid w:val="00BC74E4"/>
    <w:rsid w:val="00BD147A"/>
    <w:rsid w:val="00BD171A"/>
    <w:rsid w:val="00BD1798"/>
    <w:rsid w:val="00BD1DE7"/>
    <w:rsid w:val="00BD35B6"/>
    <w:rsid w:val="00BD4152"/>
    <w:rsid w:val="00BD4433"/>
    <w:rsid w:val="00BD44E9"/>
    <w:rsid w:val="00BD50D8"/>
    <w:rsid w:val="00BD5184"/>
    <w:rsid w:val="00BD558C"/>
    <w:rsid w:val="00BD6CD0"/>
    <w:rsid w:val="00BD72A1"/>
    <w:rsid w:val="00BE16CB"/>
    <w:rsid w:val="00BE2A33"/>
    <w:rsid w:val="00BE3038"/>
    <w:rsid w:val="00BE3357"/>
    <w:rsid w:val="00BE36A6"/>
    <w:rsid w:val="00BE3909"/>
    <w:rsid w:val="00BE4681"/>
    <w:rsid w:val="00BE50F3"/>
    <w:rsid w:val="00BE50FB"/>
    <w:rsid w:val="00BE5354"/>
    <w:rsid w:val="00BE7800"/>
    <w:rsid w:val="00BE79CB"/>
    <w:rsid w:val="00BF1503"/>
    <w:rsid w:val="00BF1BDB"/>
    <w:rsid w:val="00BF2498"/>
    <w:rsid w:val="00BF2824"/>
    <w:rsid w:val="00BF2C2F"/>
    <w:rsid w:val="00BF35D6"/>
    <w:rsid w:val="00BF40FC"/>
    <w:rsid w:val="00BF4729"/>
    <w:rsid w:val="00BF48BF"/>
    <w:rsid w:val="00BF51B5"/>
    <w:rsid w:val="00BF5A74"/>
    <w:rsid w:val="00BF5F8A"/>
    <w:rsid w:val="00BF6907"/>
    <w:rsid w:val="00BF7327"/>
    <w:rsid w:val="00BF78C1"/>
    <w:rsid w:val="00C00E3F"/>
    <w:rsid w:val="00C03F78"/>
    <w:rsid w:val="00C04A19"/>
    <w:rsid w:val="00C04AB1"/>
    <w:rsid w:val="00C04D19"/>
    <w:rsid w:val="00C0574A"/>
    <w:rsid w:val="00C05A90"/>
    <w:rsid w:val="00C05DFD"/>
    <w:rsid w:val="00C07EA1"/>
    <w:rsid w:val="00C119C9"/>
    <w:rsid w:val="00C11D3F"/>
    <w:rsid w:val="00C13996"/>
    <w:rsid w:val="00C16238"/>
    <w:rsid w:val="00C16872"/>
    <w:rsid w:val="00C17E6B"/>
    <w:rsid w:val="00C201B4"/>
    <w:rsid w:val="00C20496"/>
    <w:rsid w:val="00C2132A"/>
    <w:rsid w:val="00C21A19"/>
    <w:rsid w:val="00C21DE0"/>
    <w:rsid w:val="00C230E1"/>
    <w:rsid w:val="00C2555A"/>
    <w:rsid w:val="00C25997"/>
    <w:rsid w:val="00C26519"/>
    <w:rsid w:val="00C26880"/>
    <w:rsid w:val="00C3017B"/>
    <w:rsid w:val="00C307EA"/>
    <w:rsid w:val="00C32F8D"/>
    <w:rsid w:val="00C335C6"/>
    <w:rsid w:val="00C3468F"/>
    <w:rsid w:val="00C34CCD"/>
    <w:rsid w:val="00C34ED9"/>
    <w:rsid w:val="00C35932"/>
    <w:rsid w:val="00C36400"/>
    <w:rsid w:val="00C36459"/>
    <w:rsid w:val="00C37F5E"/>
    <w:rsid w:val="00C400E2"/>
    <w:rsid w:val="00C407E5"/>
    <w:rsid w:val="00C4119A"/>
    <w:rsid w:val="00C411E8"/>
    <w:rsid w:val="00C417EF"/>
    <w:rsid w:val="00C41AA8"/>
    <w:rsid w:val="00C42E9F"/>
    <w:rsid w:val="00C43188"/>
    <w:rsid w:val="00C440D9"/>
    <w:rsid w:val="00C45A3D"/>
    <w:rsid w:val="00C45B4F"/>
    <w:rsid w:val="00C515DB"/>
    <w:rsid w:val="00C51B80"/>
    <w:rsid w:val="00C527EC"/>
    <w:rsid w:val="00C5338E"/>
    <w:rsid w:val="00C53C74"/>
    <w:rsid w:val="00C54803"/>
    <w:rsid w:val="00C54A14"/>
    <w:rsid w:val="00C557C8"/>
    <w:rsid w:val="00C56C3A"/>
    <w:rsid w:val="00C57585"/>
    <w:rsid w:val="00C57E40"/>
    <w:rsid w:val="00C6009D"/>
    <w:rsid w:val="00C60248"/>
    <w:rsid w:val="00C6031E"/>
    <w:rsid w:val="00C615D9"/>
    <w:rsid w:val="00C61A55"/>
    <w:rsid w:val="00C62BB8"/>
    <w:rsid w:val="00C63A84"/>
    <w:rsid w:val="00C63CB6"/>
    <w:rsid w:val="00C65B15"/>
    <w:rsid w:val="00C66174"/>
    <w:rsid w:val="00C664AF"/>
    <w:rsid w:val="00C6694B"/>
    <w:rsid w:val="00C676D0"/>
    <w:rsid w:val="00C67955"/>
    <w:rsid w:val="00C705FA"/>
    <w:rsid w:val="00C70AD3"/>
    <w:rsid w:val="00C70EEE"/>
    <w:rsid w:val="00C72133"/>
    <w:rsid w:val="00C7244F"/>
    <w:rsid w:val="00C72461"/>
    <w:rsid w:val="00C734A4"/>
    <w:rsid w:val="00C73B65"/>
    <w:rsid w:val="00C741F5"/>
    <w:rsid w:val="00C742BD"/>
    <w:rsid w:val="00C74983"/>
    <w:rsid w:val="00C74E18"/>
    <w:rsid w:val="00C7613D"/>
    <w:rsid w:val="00C7708A"/>
    <w:rsid w:val="00C82FE5"/>
    <w:rsid w:val="00C836FC"/>
    <w:rsid w:val="00C841C6"/>
    <w:rsid w:val="00C86AC9"/>
    <w:rsid w:val="00C87627"/>
    <w:rsid w:val="00C87A7A"/>
    <w:rsid w:val="00C87C97"/>
    <w:rsid w:val="00C903BA"/>
    <w:rsid w:val="00C9089D"/>
    <w:rsid w:val="00C9157E"/>
    <w:rsid w:val="00C92E22"/>
    <w:rsid w:val="00C9382F"/>
    <w:rsid w:val="00C93BC8"/>
    <w:rsid w:val="00C93EE9"/>
    <w:rsid w:val="00C94237"/>
    <w:rsid w:val="00C948C0"/>
    <w:rsid w:val="00C94BCB"/>
    <w:rsid w:val="00C94D73"/>
    <w:rsid w:val="00C95014"/>
    <w:rsid w:val="00C95E38"/>
    <w:rsid w:val="00CA10D0"/>
    <w:rsid w:val="00CA32F0"/>
    <w:rsid w:val="00CA354A"/>
    <w:rsid w:val="00CA3616"/>
    <w:rsid w:val="00CA3B82"/>
    <w:rsid w:val="00CA6D6D"/>
    <w:rsid w:val="00CB0EC2"/>
    <w:rsid w:val="00CB18AB"/>
    <w:rsid w:val="00CB1E13"/>
    <w:rsid w:val="00CB2745"/>
    <w:rsid w:val="00CB3002"/>
    <w:rsid w:val="00CB3226"/>
    <w:rsid w:val="00CB33C4"/>
    <w:rsid w:val="00CB34EC"/>
    <w:rsid w:val="00CB3AB0"/>
    <w:rsid w:val="00CB44CA"/>
    <w:rsid w:val="00CB4C12"/>
    <w:rsid w:val="00CB4E0A"/>
    <w:rsid w:val="00CB6D69"/>
    <w:rsid w:val="00CB7C4C"/>
    <w:rsid w:val="00CC0ED5"/>
    <w:rsid w:val="00CC232F"/>
    <w:rsid w:val="00CC2857"/>
    <w:rsid w:val="00CC2D9A"/>
    <w:rsid w:val="00CC38DD"/>
    <w:rsid w:val="00CC43AE"/>
    <w:rsid w:val="00CC44B3"/>
    <w:rsid w:val="00CC44BC"/>
    <w:rsid w:val="00CC4A32"/>
    <w:rsid w:val="00CC543E"/>
    <w:rsid w:val="00CC5C39"/>
    <w:rsid w:val="00CC670B"/>
    <w:rsid w:val="00CC68F9"/>
    <w:rsid w:val="00CC7DB9"/>
    <w:rsid w:val="00CD000F"/>
    <w:rsid w:val="00CD0556"/>
    <w:rsid w:val="00CD0586"/>
    <w:rsid w:val="00CD08AD"/>
    <w:rsid w:val="00CD08F0"/>
    <w:rsid w:val="00CD129F"/>
    <w:rsid w:val="00CD28B2"/>
    <w:rsid w:val="00CD2E0C"/>
    <w:rsid w:val="00CD2FA6"/>
    <w:rsid w:val="00CD4B77"/>
    <w:rsid w:val="00CD4E8B"/>
    <w:rsid w:val="00CD55B7"/>
    <w:rsid w:val="00CD61F1"/>
    <w:rsid w:val="00CD6503"/>
    <w:rsid w:val="00CD70C1"/>
    <w:rsid w:val="00CD77A5"/>
    <w:rsid w:val="00CD77DE"/>
    <w:rsid w:val="00CD7E28"/>
    <w:rsid w:val="00CE01D2"/>
    <w:rsid w:val="00CE05FF"/>
    <w:rsid w:val="00CE104C"/>
    <w:rsid w:val="00CE1B6F"/>
    <w:rsid w:val="00CE2753"/>
    <w:rsid w:val="00CE3A60"/>
    <w:rsid w:val="00CF025F"/>
    <w:rsid w:val="00CF0DCD"/>
    <w:rsid w:val="00CF1AD3"/>
    <w:rsid w:val="00CF230C"/>
    <w:rsid w:val="00CF2909"/>
    <w:rsid w:val="00CF2CB1"/>
    <w:rsid w:val="00CF3917"/>
    <w:rsid w:val="00CF487D"/>
    <w:rsid w:val="00CF49C2"/>
    <w:rsid w:val="00CF5653"/>
    <w:rsid w:val="00CF581D"/>
    <w:rsid w:val="00CF6A0C"/>
    <w:rsid w:val="00CF6F8A"/>
    <w:rsid w:val="00D01176"/>
    <w:rsid w:val="00D01198"/>
    <w:rsid w:val="00D0134D"/>
    <w:rsid w:val="00D01453"/>
    <w:rsid w:val="00D02146"/>
    <w:rsid w:val="00D044E6"/>
    <w:rsid w:val="00D0525A"/>
    <w:rsid w:val="00D060B3"/>
    <w:rsid w:val="00D07608"/>
    <w:rsid w:val="00D12484"/>
    <w:rsid w:val="00D12A72"/>
    <w:rsid w:val="00D12EAD"/>
    <w:rsid w:val="00D132B9"/>
    <w:rsid w:val="00D14AB3"/>
    <w:rsid w:val="00D15716"/>
    <w:rsid w:val="00D16482"/>
    <w:rsid w:val="00D165B6"/>
    <w:rsid w:val="00D167B6"/>
    <w:rsid w:val="00D177E1"/>
    <w:rsid w:val="00D1781B"/>
    <w:rsid w:val="00D17FB9"/>
    <w:rsid w:val="00D206C2"/>
    <w:rsid w:val="00D21774"/>
    <w:rsid w:val="00D22D26"/>
    <w:rsid w:val="00D22F4C"/>
    <w:rsid w:val="00D2316A"/>
    <w:rsid w:val="00D244A9"/>
    <w:rsid w:val="00D248AA"/>
    <w:rsid w:val="00D25BBA"/>
    <w:rsid w:val="00D2617D"/>
    <w:rsid w:val="00D26630"/>
    <w:rsid w:val="00D273FB"/>
    <w:rsid w:val="00D2759D"/>
    <w:rsid w:val="00D305CB"/>
    <w:rsid w:val="00D315D7"/>
    <w:rsid w:val="00D333AF"/>
    <w:rsid w:val="00D34083"/>
    <w:rsid w:val="00D34FEC"/>
    <w:rsid w:val="00D35343"/>
    <w:rsid w:val="00D3579C"/>
    <w:rsid w:val="00D35915"/>
    <w:rsid w:val="00D404DF"/>
    <w:rsid w:val="00D40DD0"/>
    <w:rsid w:val="00D41295"/>
    <w:rsid w:val="00D41F16"/>
    <w:rsid w:val="00D420B6"/>
    <w:rsid w:val="00D42315"/>
    <w:rsid w:val="00D438C9"/>
    <w:rsid w:val="00D43C6C"/>
    <w:rsid w:val="00D44ABE"/>
    <w:rsid w:val="00D46210"/>
    <w:rsid w:val="00D46826"/>
    <w:rsid w:val="00D46C03"/>
    <w:rsid w:val="00D46DDF"/>
    <w:rsid w:val="00D46E84"/>
    <w:rsid w:val="00D47B7B"/>
    <w:rsid w:val="00D47C18"/>
    <w:rsid w:val="00D50FFB"/>
    <w:rsid w:val="00D5111F"/>
    <w:rsid w:val="00D51AD3"/>
    <w:rsid w:val="00D52055"/>
    <w:rsid w:val="00D523B3"/>
    <w:rsid w:val="00D5273C"/>
    <w:rsid w:val="00D5278B"/>
    <w:rsid w:val="00D52979"/>
    <w:rsid w:val="00D547B5"/>
    <w:rsid w:val="00D549A4"/>
    <w:rsid w:val="00D552C2"/>
    <w:rsid w:val="00D55679"/>
    <w:rsid w:val="00D569BE"/>
    <w:rsid w:val="00D60982"/>
    <w:rsid w:val="00D60EA5"/>
    <w:rsid w:val="00D629F7"/>
    <w:rsid w:val="00D63B20"/>
    <w:rsid w:val="00D63FF0"/>
    <w:rsid w:val="00D641AE"/>
    <w:rsid w:val="00D65CC2"/>
    <w:rsid w:val="00D65FC8"/>
    <w:rsid w:val="00D6610C"/>
    <w:rsid w:val="00D67E74"/>
    <w:rsid w:val="00D7020D"/>
    <w:rsid w:val="00D704AD"/>
    <w:rsid w:val="00D70EC0"/>
    <w:rsid w:val="00D71E68"/>
    <w:rsid w:val="00D71EA5"/>
    <w:rsid w:val="00D725C8"/>
    <w:rsid w:val="00D727C6"/>
    <w:rsid w:val="00D73C76"/>
    <w:rsid w:val="00D73ECF"/>
    <w:rsid w:val="00D73F95"/>
    <w:rsid w:val="00D742A0"/>
    <w:rsid w:val="00D749D5"/>
    <w:rsid w:val="00D74DE4"/>
    <w:rsid w:val="00D751EB"/>
    <w:rsid w:val="00D76B34"/>
    <w:rsid w:val="00D76DCD"/>
    <w:rsid w:val="00D76F90"/>
    <w:rsid w:val="00D77689"/>
    <w:rsid w:val="00D77707"/>
    <w:rsid w:val="00D7791E"/>
    <w:rsid w:val="00D77E59"/>
    <w:rsid w:val="00D77EEB"/>
    <w:rsid w:val="00D80D25"/>
    <w:rsid w:val="00D8142C"/>
    <w:rsid w:val="00D8152F"/>
    <w:rsid w:val="00D81C7C"/>
    <w:rsid w:val="00D833D6"/>
    <w:rsid w:val="00D836B8"/>
    <w:rsid w:val="00D83D6A"/>
    <w:rsid w:val="00D8433A"/>
    <w:rsid w:val="00D844F7"/>
    <w:rsid w:val="00D84986"/>
    <w:rsid w:val="00D84B9E"/>
    <w:rsid w:val="00D84F12"/>
    <w:rsid w:val="00D850E7"/>
    <w:rsid w:val="00D85E6A"/>
    <w:rsid w:val="00D85EF0"/>
    <w:rsid w:val="00D86F07"/>
    <w:rsid w:val="00D87579"/>
    <w:rsid w:val="00D90381"/>
    <w:rsid w:val="00D91CE0"/>
    <w:rsid w:val="00D92333"/>
    <w:rsid w:val="00D9266E"/>
    <w:rsid w:val="00D93299"/>
    <w:rsid w:val="00D934B9"/>
    <w:rsid w:val="00D9448D"/>
    <w:rsid w:val="00D95D40"/>
    <w:rsid w:val="00D969B1"/>
    <w:rsid w:val="00D96AF6"/>
    <w:rsid w:val="00DA0368"/>
    <w:rsid w:val="00DA047E"/>
    <w:rsid w:val="00DA0918"/>
    <w:rsid w:val="00DA0D17"/>
    <w:rsid w:val="00DA16FC"/>
    <w:rsid w:val="00DA2024"/>
    <w:rsid w:val="00DA274C"/>
    <w:rsid w:val="00DA39BF"/>
    <w:rsid w:val="00DA3ECF"/>
    <w:rsid w:val="00DA4920"/>
    <w:rsid w:val="00DA4E4F"/>
    <w:rsid w:val="00DA5A8F"/>
    <w:rsid w:val="00DA5CE2"/>
    <w:rsid w:val="00DA6661"/>
    <w:rsid w:val="00DA7770"/>
    <w:rsid w:val="00DB0524"/>
    <w:rsid w:val="00DB0DB4"/>
    <w:rsid w:val="00DB1A86"/>
    <w:rsid w:val="00DB2451"/>
    <w:rsid w:val="00DB24E3"/>
    <w:rsid w:val="00DB26C3"/>
    <w:rsid w:val="00DB317D"/>
    <w:rsid w:val="00DB4259"/>
    <w:rsid w:val="00DB4421"/>
    <w:rsid w:val="00DB5876"/>
    <w:rsid w:val="00DC1EC2"/>
    <w:rsid w:val="00DC232A"/>
    <w:rsid w:val="00DC2C1B"/>
    <w:rsid w:val="00DC2C49"/>
    <w:rsid w:val="00DC3135"/>
    <w:rsid w:val="00DC3B20"/>
    <w:rsid w:val="00DC53D9"/>
    <w:rsid w:val="00DC5672"/>
    <w:rsid w:val="00DC7E76"/>
    <w:rsid w:val="00DD18BE"/>
    <w:rsid w:val="00DD26A7"/>
    <w:rsid w:val="00DD3C13"/>
    <w:rsid w:val="00DD3F8B"/>
    <w:rsid w:val="00DD4345"/>
    <w:rsid w:val="00DD4831"/>
    <w:rsid w:val="00DD50E2"/>
    <w:rsid w:val="00DD55C4"/>
    <w:rsid w:val="00DD5F28"/>
    <w:rsid w:val="00DD61CE"/>
    <w:rsid w:val="00DD7267"/>
    <w:rsid w:val="00DD732A"/>
    <w:rsid w:val="00DE0EAB"/>
    <w:rsid w:val="00DE1034"/>
    <w:rsid w:val="00DE160B"/>
    <w:rsid w:val="00DE2BFC"/>
    <w:rsid w:val="00DE3269"/>
    <w:rsid w:val="00DE3CE5"/>
    <w:rsid w:val="00DE4868"/>
    <w:rsid w:val="00DE4D97"/>
    <w:rsid w:val="00DE5BD7"/>
    <w:rsid w:val="00DE6126"/>
    <w:rsid w:val="00DE6E15"/>
    <w:rsid w:val="00DF0213"/>
    <w:rsid w:val="00DF0441"/>
    <w:rsid w:val="00DF06D6"/>
    <w:rsid w:val="00DF0C39"/>
    <w:rsid w:val="00DF11AF"/>
    <w:rsid w:val="00DF2DFB"/>
    <w:rsid w:val="00DF559B"/>
    <w:rsid w:val="00DF5BF2"/>
    <w:rsid w:val="00DF611E"/>
    <w:rsid w:val="00DF61B9"/>
    <w:rsid w:val="00DF639F"/>
    <w:rsid w:val="00DF6ED9"/>
    <w:rsid w:val="00DF733A"/>
    <w:rsid w:val="00E00133"/>
    <w:rsid w:val="00E00320"/>
    <w:rsid w:val="00E00CCD"/>
    <w:rsid w:val="00E019FF"/>
    <w:rsid w:val="00E02E7E"/>
    <w:rsid w:val="00E0479B"/>
    <w:rsid w:val="00E049AC"/>
    <w:rsid w:val="00E06096"/>
    <w:rsid w:val="00E06DFC"/>
    <w:rsid w:val="00E07A36"/>
    <w:rsid w:val="00E07AD5"/>
    <w:rsid w:val="00E10792"/>
    <w:rsid w:val="00E10DCA"/>
    <w:rsid w:val="00E11282"/>
    <w:rsid w:val="00E11946"/>
    <w:rsid w:val="00E11B05"/>
    <w:rsid w:val="00E12C1E"/>
    <w:rsid w:val="00E13435"/>
    <w:rsid w:val="00E13471"/>
    <w:rsid w:val="00E13476"/>
    <w:rsid w:val="00E13D0C"/>
    <w:rsid w:val="00E16767"/>
    <w:rsid w:val="00E21559"/>
    <w:rsid w:val="00E21715"/>
    <w:rsid w:val="00E217E9"/>
    <w:rsid w:val="00E21D17"/>
    <w:rsid w:val="00E21DDE"/>
    <w:rsid w:val="00E23B8D"/>
    <w:rsid w:val="00E253A2"/>
    <w:rsid w:val="00E26179"/>
    <w:rsid w:val="00E26354"/>
    <w:rsid w:val="00E26611"/>
    <w:rsid w:val="00E269BA"/>
    <w:rsid w:val="00E26EC0"/>
    <w:rsid w:val="00E2737B"/>
    <w:rsid w:val="00E3042D"/>
    <w:rsid w:val="00E30F41"/>
    <w:rsid w:val="00E312F2"/>
    <w:rsid w:val="00E315B1"/>
    <w:rsid w:val="00E31C64"/>
    <w:rsid w:val="00E31CD9"/>
    <w:rsid w:val="00E34243"/>
    <w:rsid w:val="00E34374"/>
    <w:rsid w:val="00E34792"/>
    <w:rsid w:val="00E35CF9"/>
    <w:rsid w:val="00E3649C"/>
    <w:rsid w:val="00E36653"/>
    <w:rsid w:val="00E36FF6"/>
    <w:rsid w:val="00E37C02"/>
    <w:rsid w:val="00E40A20"/>
    <w:rsid w:val="00E410B4"/>
    <w:rsid w:val="00E413AA"/>
    <w:rsid w:val="00E413F3"/>
    <w:rsid w:val="00E415A2"/>
    <w:rsid w:val="00E42126"/>
    <w:rsid w:val="00E448E3"/>
    <w:rsid w:val="00E45506"/>
    <w:rsid w:val="00E46028"/>
    <w:rsid w:val="00E4669C"/>
    <w:rsid w:val="00E47726"/>
    <w:rsid w:val="00E477FD"/>
    <w:rsid w:val="00E501EA"/>
    <w:rsid w:val="00E50B3F"/>
    <w:rsid w:val="00E5154D"/>
    <w:rsid w:val="00E5308D"/>
    <w:rsid w:val="00E544FF"/>
    <w:rsid w:val="00E54A6B"/>
    <w:rsid w:val="00E54DC4"/>
    <w:rsid w:val="00E54F77"/>
    <w:rsid w:val="00E55856"/>
    <w:rsid w:val="00E55B32"/>
    <w:rsid w:val="00E575FC"/>
    <w:rsid w:val="00E604FD"/>
    <w:rsid w:val="00E60933"/>
    <w:rsid w:val="00E62558"/>
    <w:rsid w:val="00E63190"/>
    <w:rsid w:val="00E6431A"/>
    <w:rsid w:val="00E64415"/>
    <w:rsid w:val="00E646F3"/>
    <w:rsid w:val="00E64A35"/>
    <w:rsid w:val="00E65002"/>
    <w:rsid w:val="00E651D8"/>
    <w:rsid w:val="00E6595D"/>
    <w:rsid w:val="00E66F52"/>
    <w:rsid w:val="00E7024D"/>
    <w:rsid w:val="00E70522"/>
    <w:rsid w:val="00E70C08"/>
    <w:rsid w:val="00E714FD"/>
    <w:rsid w:val="00E71861"/>
    <w:rsid w:val="00E719BD"/>
    <w:rsid w:val="00E72DEA"/>
    <w:rsid w:val="00E7309B"/>
    <w:rsid w:val="00E73E1C"/>
    <w:rsid w:val="00E7498A"/>
    <w:rsid w:val="00E74BBF"/>
    <w:rsid w:val="00E76AB5"/>
    <w:rsid w:val="00E76DD8"/>
    <w:rsid w:val="00E77079"/>
    <w:rsid w:val="00E77996"/>
    <w:rsid w:val="00E77AA4"/>
    <w:rsid w:val="00E80015"/>
    <w:rsid w:val="00E803DE"/>
    <w:rsid w:val="00E80775"/>
    <w:rsid w:val="00E807A2"/>
    <w:rsid w:val="00E8100F"/>
    <w:rsid w:val="00E81D8D"/>
    <w:rsid w:val="00E820CE"/>
    <w:rsid w:val="00E82D6E"/>
    <w:rsid w:val="00E838EB"/>
    <w:rsid w:val="00E83A1B"/>
    <w:rsid w:val="00E8459B"/>
    <w:rsid w:val="00E85111"/>
    <w:rsid w:val="00E85735"/>
    <w:rsid w:val="00E86D66"/>
    <w:rsid w:val="00E9063B"/>
    <w:rsid w:val="00E90F6B"/>
    <w:rsid w:val="00E91B7F"/>
    <w:rsid w:val="00E91BAC"/>
    <w:rsid w:val="00E9529E"/>
    <w:rsid w:val="00E95E06"/>
    <w:rsid w:val="00E96891"/>
    <w:rsid w:val="00E9750A"/>
    <w:rsid w:val="00E97BA1"/>
    <w:rsid w:val="00EA08FD"/>
    <w:rsid w:val="00EA1E50"/>
    <w:rsid w:val="00EA2A45"/>
    <w:rsid w:val="00EA2F4C"/>
    <w:rsid w:val="00EA3A86"/>
    <w:rsid w:val="00EA503F"/>
    <w:rsid w:val="00EA5481"/>
    <w:rsid w:val="00EA5CED"/>
    <w:rsid w:val="00EA5DC1"/>
    <w:rsid w:val="00EA7184"/>
    <w:rsid w:val="00EA7E77"/>
    <w:rsid w:val="00EB01F8"/>
    <w:rsid w:val="00EB1F0E"/>
    <w:rsid w:val="00EB2108"/>
    <w:rsid w:val="00EB2A73"/>
    <w:rsid w:val="00EB5333"/>
    <w:rsid w:val="00EB73CC"/>
    <w:rsid w:val="00EC1E23"/>
    <w:rsid w:val="00EC20C0"/>
    <w:rsid w:val="00EC2118"/>
    <w:rsid w:val="00EC2B4D"/>
    <w:rsid w:val="00EC5DA7"/>
    <w:rsid w:val="00EC6BE7"/>
    <w:rsid w:val="00EC6E6B"/>
    <w:rsid w:val="00EC7960"/>
    <w:rsid w:val="00EC7D57"/>
    <w:rsid w:val="00ED06E2"/>
    <w:rsid w:val="00ED1C07"/>
    <w:rsid w:val="00ED41C9"/>
    <w:rsid w:val="00ED6548"/>
    <w:rsid w:val="00ED74D8"/>
    <w:rsid w:val="00EE0487"/>
    <w:rsid w:val="00EE1148"/>
    <w:rsid w:val="00EE1E1A"/>
    <w:rsid w:val="00EE24BE"/>
    <w:rsid w:val="00EE2CD1"/>
    <w:rsid w:val="00EE4313"/>
    <w:rsid w:val="00EE465C"/>
    <w:rsid w:val="00EE4FF1"/>
    <w:rsid w:val="00EE51CB"/>
    <w:rsid w:val="00EE616A"/>
    <w:rsid w:val="00EE698B"/>
    <w:rsid w:val="00EE6E3C"/>
    <w:rsid w:val="00EE7BC3"/>
    <w:rsid w:val="00EF0403"/>
    <w:rsid w:val="00EF1506"/>
    <w:rsid w:val="00EF195B"/>
    <w:rsid w:val="00EF2EF3"/>
    <w:rsid w:val="00EF4A2D"/>
    <w:rsid w:val="00EF5151"/>
    <w:rsid w:val="00EF60F0"/>
    <w:rsid w:val="00EF7010"/>
    <w:rsid w:val="00EF7B85"/>
    <w:rsid w:val="00F00071"/>
    <w:rsid w:val="00F02C8F"/>
    <w:rsid w:val="00F03006"/>
    <w:rsid w:val="00F0385A"/>
    <w:rsid w:val="00F03A54"/>
    <w:rsid w:val="00F05477"/>
    <w:rsid w:val="00F054EA"/>
    <w:rsid w:val="00F05980"/>
    <w:rsid w:val="00F05EB1"/>
    <w:rsid w:val="00F06219"/>
    <w:rsid w:val="00F06840"/>
    <w:rsid w:val="00F07900"/>
    <w:rsid w:val="00F07962"/>
    <w:rsid w:val="00F10A4E"/>
    <w:rsid w:val="00F11ADF"/>
    <w:rsid w:val="00F12ED0"/>
    <w:rsid w:val="00F14503"/>
    <w:rsid w:val="00F1598F"/>
    <w:rsid w:val="00F1669D"/>
    <w:rsid w:val="00F1704B"/>
    <w:rsid w:val="00F1744C"/>
    <w:rsid w:val="00F174E0"/>
    <w:rsid w:val="00F17F82"/>
    <w:rsid w:val="00F20AB2"/>
    <w:rsid w:val="00F210FC"/>
    <w:rsid w:val="00F23196"/>
    <w:rsid w:val="00F231A2"/>
    <w:rsid w:val="00F237FB"/>
    <w:rsid w:val="00F24B10"/>
    <w:rsid w:val="00F24E42"/>
    <w:rsid w:val="00F251C3"/>
    <w:rsid w:val="00F254B3"/>
    <w:rsid w:val="00F269DE"/>
    <w:rsid w:val="00F27604"/>
    <w:rsid w:val="00F276D5"/>
    <w:rsid w:val="00F314FB"/>
    <w:rsid w:val="00F31D1B"/>
    <w:rsid w:val="00F31E62"/>
    <w:rsid w:val="00F32A3C"/>
    <w:rsid w:val="00F32F47"/>
    <w:rsid w:val="00F33582"/>
    <w:rsid w:val="00F345D8"/>
    <w:rsid w:val="00F37A53"/>
    <w:rsid w:val="00F40C09"/>
    <w:rsid w:val="00F40E84"/>
    <w:rsid w:val="00F41C00"/>
    <w:rsid w:val="00F4286D"/>
    <w:rsid w:val="00F448EA"/>
    <w:rsid w:val="00F471A7"/>
    <w:rsid w:val="00F474E0"/>
    <w:rsid w:val="00F51219"/>
    <w:rsid w:val="00F5121E"/>
    <w:rsid w:val="00F514D8"/>
    <w:rsid w:val="00F5172B"/>
    <w:rsid w:val="00F52199"/>
    <w:rsid w:val="00F52765"/>
    <w:rsid w:val="00F52769"/>
    <w:rsid w:val="00F536E7"/>
    <w:rsid w:val="00F538D7"/>
    <w:rsid w:val="00F53FA3"/>
    <w:rsid w:val="00F5559A"/>
    <w:rsid w:val="00F5641C"/>
    <w:rsid w:val="00F56994"/>
    <w:rsid w:val="00F576BA"/>
    <w:rsid w:val="00F57A81"/>
    <w:rsid w:val="00F6130E"/>
    <w:rsid w:val="00F61E96"/>
    <w:rsid w:val="00F62348"/>
    <w:rsid w:val="00F626A5"/>
    <w:rsid w:val="00F64A81"/>
    <w:rsid w:val="00F650DE"/>
    <w:rsid w:val="00F66C17"/>
    <w:rsid w:val="00F66D73"/>
    <w:rsid w:val="00F66D94"/>
    <w:rsid w:val="00F67CC1"/>
    <w:rsid w:val="00F705A1"/>
    <w:rsid w:val="00F70F45"/>
    <w:rsid w:val="00F71071"/>
    <w:rsid w:val="00F71131"/>
    <w:rsid w:val="00F7141A"/>
    <w:rsid w:val="00F71CF0"/>
    <w:rsid w:val="00F7413E"/>
    <w:rsid w:val="00F75F88"/>
    <w:rsid w:val="00F76D38"/>
    <w:rsid w:val="00F76FE7"/>
    <w:rsid w:val="00F77164"/>
    <w:rsid w:val="00F7754F"/>
    <w:rsid w:val="00F800EC"/>
    <w:rsid w:val="00F80CF8"/>
    <w:rsid w:val="00F83AE4"/>
    <w:rsid w:val="00F8450E"/>
    <w:rsid w:val="00F915F0"/>
    <w:rsid w:val="00F92094"/>
    <w:rsid w:val="00F92C6C"/>
    <w:rsid w:val="00F92E0A"/>
    <w:rsid w:val="00F9377C"/>
    <w:rsid w:val="00F93BBD"/>
    <w:rsid w:val="00F94657"/>
    <w:rsid w:val="00F952D5"/>
    <w:rsid w:val="00F9606E"/>
    <w:rsid w:val="00F964C1"/>
    <w:rsid w:val="00F97A4A"/>
    <w:rsid w:val="00F97B79"/>
    <w:rsid w:val="00FA0447"/>
    <w:rsid w:val="00FA168C"/>
    <w:rsid w:val="00FA1964"/>
    <w:rsid w:val="00FA288E"/>
    <w:rsid w:val="00FA3898"/>
    <w:rsid w:val="00FA3BE6"/>
    <w:rsid w:val="00FA4195"/>
    <w:rsid w:val="00FA41AE"/>
    <w:rsid w:val="00FA558C"/>
    <w:rsid w:val="00FA6A93"/>
    <w:rsid w:val="00FA789E"/>
    <w:rsid w:val="00FB1BFE"/>
    <w:rsid w:val="00FB20A7"/>
    <w:rsid w:val="00FB21B8"/>
    <w:rsid w:val="00FB2F35"/>
    <w:rsid w:val="00FB37BD"/>
    <w:rsid w:val="00FB37EE"/>
    <w:rsid w:val="00FB3FBE"/>
    <w:rsid w:val="00FB45DD"/>
    <w:rsid w:val="00FB4754"/>
    <w:rsid w:val="00FB4888"/>
    <w:rsid w:val="00FB5231"/>
    <w:rsid w:val="00FB5497"/>
    <w:rsid w:val="00FB5A57"/>
    <w:rsid w:val="00FB6594"/>
    <w:rsid w:val="00FB7B4E"/>
    <w:rsid w:val="00FB7CB7"/>
    <w:rsid w:val="00FC00EF"/>
    <w:rsid w:val="00FC0C07"/>
    <w:rsid w:val="00FC11BF"/>
    <w:rsid w:val="00FC4A7D"/>
    <w:rsid w:val="00FC4D12"/>
    <w:rsid w:val="00FC580B"/>
    <w:rsid w:val="00FC6595"/>
    <w:rsid w:val="00FC6653"/>
    <w:rsid w:val="00FD14B8"/>
    <w:rsid w:val="00FD1A26"/>
    <w:rsid w:val="00FD2B72"/>
    <w:rsid w:val="00FD4374"/>
    <w:rsid w:val="00FD4ADE"/>
    <w:rsid w:val="00FD4EEF"/>
    <w:rsid w:val="00FD5413"/>
    <w:rsid w:val="00FD5A57"/>
    <w:rsid w:val="00FD6EE1"/>
    <w:rsid w:val="00FD75C3"/>
    <w:rsid w:val="00FD75D6"/>
    <w:rsid w:val="00FD7AE9"/>
    <w:rsid w:val="00FE03DD"/>
    <w:rsid w:val="00FE20D0"/>
    <w:rsid w:val="00FE329B"/>
    <w:rsid w:val="00FE4034"/>
    <w:rsid w:val="00FE4D58"/>
    <w:rsid w:val="00FE521A"/>
    <w:rsid w:val="00FE59FD"/>
    <w:rsid w:val="00FE61AA"/>
    <w:rsid w:val="00FE67DB"/>
    <w:rsid w:val="00FE7254"/>
    <w:rsid w:val="00FF0049"/>
    <w:rsid w:val="00FF0572"/>
    <w:rsid w:val="00FF334E"/>
    <w:rsid w:val="00FF3649"/>
    <w:rsid w:val="00FF3840"/>
    <w:rsid w:val="00FF43F5"/>
    <w:rsid w:val="00FF470B"/>
    <w:rsid w:val="00FF53FF"/>
    <w:rsid w:val="00FF57D2"/>
    <w:rsid w:val="00FF7307"/>
    <w:rsid w:val="00FF7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200DAD"/>
  <w15:docId w15:val="{8306FAA2-860A-4B79-9124-8AF4180EB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B6F3E"/>
  </w:style>
  <w:style w:type="paragraph" w:styleId="Heading1">
    <w:name w:val="heading 1"/>
    <w:basedOn w:val="Normal"/>
    <w:next w:val="Normal"/>
    <w:link w:val="Heading1Char"/>
    <w:uiPriority w:val="9"/>
    <w:qFormat/>
    <w:rsid w:val="000A33C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A33C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A33C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6526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93BC8"/>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33C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A33C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A33C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6526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C93BC8"/>
    <w:rPr>
      <w:rFonts w:asciiTheme="majorHAnsi" w:eastAsiaTheme="majorEastAsia" w:hAnsiTheme="majorHAnsi" w:cstheme="majorBidi"/>
      <w:color w:val="365F91" w:themeColor="accent1" w:themeShade="BF"/>
    </w:rPr>
  </w:style>
  <w:style w:type="paragraph" w:styleId="Header">
    <w:name w:val="header"/>
    <w:basedOn w:val="Normal"/>
    <w:link w:val="HeaderChar"/>
    <w:uiPriority w:val="99"/>
    <w:unhideWhenUsed/>
    <w:rsid w:val="005E2416"/>
    <w:pPr>
      <w:tabs>
        <w:tab w:val="center" w:pos="4680"/>
        <w:tab w:val="right" w:pos="9360"/>
      </w:tabs>
    </w:pPr>
  </w:style>
  <w:style w:type="character" w:customStyle="1" w:styleId="HeaderChar">
    <w:name w:val="Header Char"/>
    <w:basedOn w:val="DefaultParagraphFont"/>
    <w:link w:val="Header"/>
    <w:uiPriority w:val="99"/>
    <w:rsid w:val="005E2416"/>
  </w:style>
  <w:style w:type="paragraph" w:styleId="Footer">
    <w:name w:val="footer"/>
    <w:basedOn w:val="Normal"/>
    <w:link w:val="FooterChar"/>
    <w:uiPriority w:val="99"/>
    <w:unhideWhenUsed/>
    <w:rsid w:val="005E2416"/>
    <w:pPr>
      <w:tabs>
        <w:tab w:val="center" w:pos="4680"/>
        <w:tab w:val="right" w:pos="9360"/>
      </w:tabs>
    </w:pPr>
  </w:style>
  <w:style w:type="character" w:customStyle="1" w:styleId="FooterChar">
    <w:name w:val="Footer Char"/>
    <w:basedOn w:val="DefaultParagraphFont"/>
    <w:link w:val="Footer"/>
    <w:uiPriority w:val="99"/>
    <w:rsid w:val="005E2416"/>
  </w:style>
  <w:style w:type="character" w:styleId="Hyperlink">
    <w:name w:val="Hyperlink"/>
    <w:basedOn w:val="DefaultParagraphFont"/>
    <w:uiPriority w:val="99"/>
    <w:rsid w:val="006F7109"/>
    <w:rPr>
      <w:rFonts w:cs="Times New Roman"/>
      <w:color w:val="0000FF"/>
      <w:u w:val="single"/>
    </w:rPr>
  </w:style>
  <w:style w:type="paragraph" w:styleId="NormalWeb">
    <w:name w:val="Normal (Web)"/>
    <w:basedOn w:val="Normal"/>
    <w:uiPriority w:val="99"/>
    <w:rsid w:val="006F7109"/>
    <w:pPr>
      <w:spacing w:before="100" w:beforeAutospacing="1" w:after="100" w:afterAutospacing="1"/>
    </w:pPr>
    <w:rPr>
      <w:rFonts w:ascii="Verdana" w:eastAsia="Times New Roman" w:hAnsi="Verdana" w:cs="Times New Roman"/>
      <w:color w:val="000000"/>
      <w:sz w:val="20"/>
      <w:szCs w:val="20"/>
    </w:rPr>
  </w:style>
  <w:style w:type="paragraph" w:styleId="EndnoteText">
    <w:name w:val="endnote text"/>
    <w:basedOn w:val="Normal"/>
    <w:link w:val="EndnoteTextChar"/>
    <w:uiPriority w:val="99"/>
    <w:semiHidden/>
    <w:rsid w:val="006F7109"/>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6F7109"/>
    <w:rPr>
      <w:rFonts w:ascii="Times New Roman" w:eastAsia="Times New Roman" w:hAnsi="Times New Roman" w:cs="Times New Roman"/>
      <w:sz w:val="20"/>
      <w:szCs w:val="20"/>
    </w:rPr>
  </w:style>
  <w:style w:type="character" w:styleId="EndnoteReference">
    <w:name w:val="endnote reference"/>
    <w:basedOn w:val="DefaultParagraphFont"/>
    <w:uiPriority w:val="99"/>
    <w:semiHidden/>
    <w:rsid w:val="006F7109"/>
    <w:rPr>
      <w:rFonts w:cs="Times New Roman"/>
      <w:vertAlign w:val="superscript"/>
    </w:rPr>
  </w:style>
  <w:style w:type="paragraph" w:styleId="ListParagraph">
    <w:name w:val="List Paragraph"/>
    <w:basedOn w:val="Normal"/>
    <w:uiPriority w:val="34"/>
    <w:qFormat/>
    <w:rsid w:val="006F7109"/>
    <w:pPr>
      <w:ind w:left="720"/>
      <w:contextualSpacing/>
    </w:pPr>
    <w:rPr>
      <w:rFonts w:ascii="Times New Roman" w:eastAsia="Times New Roman" w:hAnsi="Times New Roman" w:cs="Times New Roman"/>
      <w:sz w:val="24"/>
      <w:szCs w:val="24"/>
    </w:rPr>
  </w:style>
  <w:style w:type="paragraph" w:customStyle="1" w:styleId="Heading">
    <w:name w:val="Heading"/>
    <w:basedOn w:val="Normal"/>
    <w:link w:val="HeadingChar"/>
    <w:uiPriority w:val="99"/>
    <w:rsid w:val="006F7109"/>
    <w:rPr>
      <w:rFonts w:ascii="Arial" w:eastAsia="Times New Roman" w:hAnsi="Arial" w:cs="Arial"/>
      <w:b/>
      <w:color w:val="FF0000"/>
      <w:sz w:val="40"/>
      <w:szCs w:val="40"/>
    </w:rPr>
  </w:style>
  <w:style w:type="character" w:customStyle="1" w:styleId="HeadingChar">
    <w:name w:val="Heading Char"/>
    <w:basedOn w:val="DefaultParagraphFont"/>
    <w:link w:val="Heading"/>
    <w:uiPriority w:val="99"/>
    <w:locked/>
    <w:rsid w:val="006F7109"/>
    <w:rPr>
      <w:rFonts w:ascii="Arial" w:eastAsia="Times New Roman" w:hAnsi="Arial" w:cs="Arial"/>
      <w:b/>
      <w:color w:val="FF0000"/>
      <w:sz w:val="40"/>
      <w:szCs w:val="40"/>
    </w:rPr>
  </w:style>
  <w:style w:type="paragraph" w:customStyle="1" w:styleId="CCTOCHeading">
    <w:name w:val="CC TOC Heading"/>
    <w:basedOn w:val="NormalWeb"/>
    <w:uiPriority w:val="99"/>
    <w:qFormat/>
    <w:rsid w:val="00E36FF6"/>
    <w:pPr>
      <w:keepNext/>
      <w:spacing w:before="360" w:beforeAutospacing="0" w:after="240" w:afterAutospacing="0"/>
    </w:pPr>
    <w:rPr>
      <w:rFonts w:ascii="Calibri" w:hAnsi="Calibri" w:cs="Arial"/>
      <w:b/>
      <w:color w:val="1F497D" w:themeColor="text2"/>
      <w:sz w:val="40"/>
      <w:szCs w:val="40"/>
    </w:rPr>
  </w:style>
  <w:style w:type="paragraph" w:customStyle="1" w:styleId="CCAgencyHeading">
    <w:name w:val="CC Agency Heading"/>
    <w:basedOn w:val="Heading"/>
    <w:qFormat/>
    <w:rsid w:val="006F7109"/>
    <w:pPr>
      <w:spacing w:before="240" w:after="240"/>
    </w:pPr>
    <w:rPr>
      <w:rFonts w:ascii="ITC Avant Garde Gothic" w:hAnsi="ITC Avant Garde Gothic"/>
      <w:color w:val="03653F"/>
      <w:sz w:val="36"/>
      <w:szCs w:val="36"/>
    </w:rPr>
  </w:style>
  <w:style w:type="paragraph" w:customStyle="1" w:styleId="CCIssuance">
    <w:name w:val="CC Issuance"/>
    <w:basedOn w:val="Heading"/>
    <w:uiPriority w:val="99"/>
    <w:rsid w:val="006D3895"/>
    <w:pPr>
      <w:keepNext/>
      <w:spacing w:after="240"/>
    </w:pPr>
    <w:rPr>
      <w:rFonts w:ascii="ITC Avant Garde Gothic" w:hAnsi="ITC Avant Garde Gothic"/>
      <w:color w:val="595959" w:themeColor="text1" w:themeTint="A6"/>
      <w:sz w:val="24"/>
      <w:szCs w:val="24"/>
    </w:rPr>
  </w:style>
  <w:style w:type="paragraph" w:customStyle="1" w:styleId="CCbodytext">
    <w:name w:val="CC body text"/>
    <w:basedOn w:val="Heading"/>
    <w:qFormat/>
    <w:rsid w:val="00A215EA"/>
    <w:pPr>
      <w:spacing w:after="120"/>
    </w:pPr>
    <w:rPr>
      <w:rFonts w:ascii="Calibri Light" w:hAnsi="Calibri Light"/>
      <w:b w:val="0"/>
      <w:color w:val="auto"/>
      <w:sz w:val="22"/>
      <w:szCs w:val="22"/>
    </w:rPr>
  </w:style>
  <w:style w:type="paragraph" w:customStyle="1" w:styleId="CCComment">
    <w:name w:val="CC Comment"/>
    <w:basedOn w:val="Normal"/>
    <w:uiPriority w:val="99"/>
    <w:qFormat/>
    <w:rsid w:val="00E00CCD"/>
    <w:pPr>
      <w:spacing w:after="120"/>
    </w:pPr>
    <w:rPr>
      <w:rFonts w:ascii="Calibri Light" w:hAnsi="Calibri Light" w:cs="Arial"/>
      <w:b/>
      <w:i/>
      <w:color w:val="03653F"/>
    </w:rPr>
  </w:style>
  <w:style w:type="paragraph" w:customStyle="1" w:styleId="CCBullet">
    <w:name w:val="CC Bullet"/>
    <w:basedOn w:val="ListParagraph"/>
    <w:qFormat/>
    <w:rsid w:val="00E00CCD"/>
    <w:pPr>
      <w:numPr>
        <w:numId w:val="1"/>
      </w:numPr>
    </w:pPr>
    <w:rPr>
      <w:rFonts w:ascii="Calibri Light" w:hAnsi="Calibri Light"/>
      <w:sz w:val="22"/>
      <w:szCs w:val="22"/>
    </w:rPr>
  </w:style>
  <w:style w:type="paragraph" w:styleId="TOC1">
    <w:name w:val="toc 1"/>
    <w:basedOn w:val="Normal"/>
    <w:next w:val="Normal"/>
    <w:autoRedefine/>
    <w:uiPriority w:val="39"/>
    <w:unhideWhenUsed/>
    <w:qFormat/>
    <w:rsid w:val="00761DBD"/>
    <w:pPr>
      <w:tabs>
        <w:tab w:val="right" w:leader="dot" w:pos="10080"/>
      </w:tabs>
      <w:spacing w:after="100"/>
      <w:ind w:left="720"/>
    </w:pPr>
    <w:rPr>
      <w:rFonts w:ascii="Calibri" w:hAnsi="Calibri"/>
      <w:color w:val="FFFFFF" w:themeColor="background1"/>
    </w:rPr>
  </w:style>
  <w:style w:type="paragraph" w:styleId="BalloonText">
    <w:name w:val="Balloon Text"/>
    <w:basedOn w:val="Normal"/>
    <w:link w:val="BalloonTextChar"/>
    <w:uiPriority w:val="99"/>
    <w:semiHidden/>
    <w:unhideWhenUsed/>
    <w:rsid w:val="00C87C97"/>
    <w:rPr>
      <w:rFonts w:ascii="Tahoma" w:hAnsi="Tahoma" w:cs="Tahoma"/>
      <w:sz w:val="16"/>
      <w:szCs w:val="16"/>
    </w:rPr>
  </w:style>
  <w:style w:type="character" w:customStyle="1" w:styleId="BalloonTextChar">
    <w:name w:val="Balloon Text Char"/>
    <w:basedOn w:val="DefaultParagraphFont"/>
    <w:link w:val="BalloonText"/>
    <w:uiPriority w:val="99"/>
    <w:semiHidden/>
    <w:rsid w:val="00C87C97"/>
    <w:rPr>
      <w:rFonts w:ascii="Tahoma" w:hAnsi="Tahoma" w:cs="Tahoma"/>
      <w:sz w:val="16"/>
      <w:szCs w:val="16"/>
    </w:rPr>
  </w:style>
  <w:style w:type="character" w:customStyle="1" w:styleId="apple-converted-space">
    <w:name w:val="apple-converted-space"/>
    <w:basedOn w:val="DefaultParagraphFont"/>
    <w:rsid w:val="001D4076"/>
  </w:style>
  <w:style w:type="character" w:customStyle="1" w:styleId="date-display-single">
    <w:name w:val="date-display-single"/>
    <w:basedOn w:val="DefaultParagraphFont"/>
    <w:rsid w:val="00271F03"/>
  </w:style>
  <w:style w:type="character" w:customStyle="1" w:styleId="date-display-start">
    <w:name w:val="date-display-start"/>
    <w:basedOn w:val="DefaultParagraphFont"/>
    <w:rsid w:val="00271F03"/>
  </w:style>
  <w:style w:type="character" w:customStyle="1" w:styleId="date-display-end">
    <w:name w:val="date-display-end"/>
    <w:basedOn w:val="DefaultParagraphFont"/>
    <w:rsid w:val="00271F03"/>
  </w:style>
  <w:style w:type="character" w:styleId="FollowedHyperlink">
    <w:name w:val="FollowedHyperlink"/>
    <w:basedOn w:val="DefaultParagraphFont"/>
    <w:uiPriority w:val="99"/>
    <w:semiHidden/>
    <w:unhideWhenUsed/>
    <w:rsid w:val="00395C2F"/>
    <w:rPr>
      <w:color w:val="800080" w:themeColor="followedHyperlink"/>
      <w:u w:val="single"/>
    </w:rPr>
  </w:style>
  <w:style w:type="paragraph" w:styleId="TOCHeading">
    <w:name w:val="TOC Heading"/>
    <w:basedOn w:val="Heading1"/>
    <w:next w:val="Normal"/>
    <w:uiPriority w:val="39"/>
    <w:semiHidden/>
    <w:unhideWhenUsed/>
    <w:qFormat/>
    <w:rsid w:val="00996B12"/>
    <w:pPr>
      <w:spacing w:line="276" w:lineRule="auto"/>
      <w:outlineLvl w:val="9"/>
    </w:pPr>
  </w:style>
  <w:style w:type="paragraph" w:styleId="TOC2">
    <w:name w:val="toc 2"/>
    <w:basedOn w:val="Normal"/>
    <w:next w:val="Normal"/>
    <w:autoRedefine/>
    <w:uiPriority w:val="39"/>
    <w:semiHidden/>
    <w:unhideWhenUsed/>
    <w:qFormat/>
    <w:rsid w:val="00996B12"/>
    <w:pPr>
      <w:spacing w:after="100" w:line="276" w:lineRule="auto"/>
      <w:ind w:left="220"/>
    </w:pPr>
    <w:rPr>
      <w:rFonts w:eastAsiaTheme="minorEastAsia"/>
    </w:rPr>
  </w:style>
  <w:style w:type="paragraph" w:styleId="TOC3">
    <w:name w:val="toc 3"/>
    <w:basedOn w:val="Normal"/>
    <w:next w:val="Normal"/>
    <w:autoRedefine/>
    <w:uiPriority w:val="39"/>
    <w:semiHidden/>
    <w:unhideWhenUsed/>
    <w:qFormat/>
    <w:rsid w:val="00996B12"/>
    <w:pPr>
      <w:spacing w:after="100" w:line="276" w:lineRule="auto"/>
      <w:ind w:left="440"/>
    </w:pPr>
    <w:rPr>
      <w:rFonts w:eastAsiaTheme="minorEastAsia"/>
    </w:rPr>
  </w:style>
  <w:style w:type="character" w:styleId="Emphasis">
    <w:name w:val="Emphasis"/>
    <w:basedOn w:val="DefaultParagraphFont"/>
    <w:uiPriority w:val="20"/>
    <w:qFormat/>
    <w:rsid w:val="00510ABD"/>
    <w:rPr>
      <w:i/>
      <w:iCs/>
    </w:rPr>
  </w:style>
  <w:style w:type="character" w:styleId="Strong">
    <w:name w:val="Strong"/>
    <w:basedOn w:val="DefaultParagraphFont"/>
    <w:uiPriority w:val="22"/>
    <w:qFormat/>
    <w:rsid w:val="00EB2A73"/>
    <w:rPr>
      <w:b/>
      <w:bCs/>
    </w:rPr>
  </w:style>
  <w:style w:type="character" w:customStyle="1" w:styleId="h4">
    <w:name w:val="h4"/>
    <w:basedOn w:val="DefaultParagraphFont"/>
    <w:rsid w:val="00C74983"/>
  </w:style>
  <w:style w:type="character" w:customStyle="1" w:styleId="datetime">
    <w:name w:val="datetime"/>
    <w:basedOn w:val="DefaultParagraphFont"/>
    <w:rsid w:val="00C74983"/>
  </w:style>
  <w:style w:type="character" w:customStyle="1" w:styleId="u-visually-hidden">
    <w:name w:val="u-visually-hidden"/>
    <w:basedOn w:val="DefaultParagraphFont"/>
    <w:rsid w:val="00C74983"/>
  </w:style>
  <w:style w:type="character" w:customStyle="1" w:styleId="icon-linktext">
    <w:name w:val="icon-link_text"/>
    <w:basedOn w:val="DefaultParagraphFont"/>
    <w:rsid w:val="00AA79BF"/>
  </w:style>
  <w:style w:type="paragraph" w:customStyle="1" w:styleId="Default">
    <w:name w:val="Default"/>
    <w:rsid w:val="00682EEC"/>
    <w:pPr>
      <w:autoSpaceDE w:val="0"/>
      <w:autoSpaceDN w:val="0"/>
      <w:adjustRightInd w:val="0"/>
    </w:pPr>
    <w:rPr>
      <w:rFonts w:ascii="Courier New" w:hAnsi="Courier New" w:cs="Courier New"/>
      <w:color w:val="000000"/>
      <w:sz w:val="24"/>
      <w:szCs w:val="24"/>
    </w:rPr>
  </w:style>
  <w:style w:type="character" w:styleId="Mention">
    <w:name w:val="Mention"/>
    <w:basedOn w:val="DefaultParagraphFont"/>
    <w:uiPriority w:val="99"/>
    <w:semiHidden/>
    <w:unhideWhenUsed/>
    <w:rsid w:val="0024457E"/>
    <w:rPr>
      <w:color w:val="2B579A"/>
      <w:shd w:val="clear" w:color="auto" w:fill="E6E6E6"/>
    </w:rPr>
  </w:style>
  <w:style w:type="character" w:customStyle="1" w:styleId="UnresolvedMention1">
    <w:name w:val="Unresolved Mention1"/>
    <w:basedOn w:val="DefaultParagraphFont"/>
    <w:uiPriority w:val="99"/>
    <w:semiHidden/>
    <w:unhideWhenUsed/>
    <w:rsid w:val="00DF0213"/>
    <w:rPr>
      <w:color w:val="808080"/>
      <w:shd w:val="clear" w:color="auto" w:fill="E6E6E6"/>
    </w:rPr>
  </w:style>
  <w:style w:type="character" w:customStyle="1" w:styleId="UnresolvedMention2">
    <w:name w:val="Unresolved Mention2"/>
    <w:basedOn w:val="DefaultParagraphFont"/>
    <w:uiPriority w:val="99"/>
    <w:semiHidden/>
    <w:unhideWhenUsed/>
    <w:rsid w:val="00785F7F"/>
    <w:rPr>
      <w:color w:val="808080"/>
      <w:shd w:val="clear" w:color="auto" w:fill="E6E6E6"/>
    </w:rPr>
  </w:style>
  <w:style w:type="character" w:customStyle="1" w:styleId="UnresolvedMention3">
    <w:name w:val="Unresolved Mention3"/>
    <w:basedOn w:val="DefaultParagraphFont"/>
    <w:uiPriority w:val="99"/>
    <w:semiHidden/>
    <w:unhideWhenUsed/>
    <w:rsid w:val="007A5A88"/>
    <w:rPr>
      <w:color w:val="808080"/>
      <w:shd w:val="clear" w:color="auto" w:fill="E6E6E6"/>
    </w:rPr>
  </w:style>
  <w:style w:type="character" w:customStyle="1" w:styleId="UnresolvedMention4">
    <w:name w:val="Unresolved Mention4"/>
    <w:basedOn w:val="DefaultParagraphFont"/>
    <w:uiPriority w:val="99"/>
    <w:semiHidden/>
    <w:unhideWhenUsed/>
    <w:rsid w:val="00AF5733"/>
    <w:rPr>
      <w:color w:val="808080"/>
      <w:shd w:val="clear" w:color="auto" w:fill="E6E6E6"/>
    </w:rPr>
  </w:style>
  <w:style w:type="character" w:customStyle="1" w:styleId="UnresolvedMention5">
    <w:name w:val="Unresolved Mention5"/>
    <w:basedOn w:val="DefaultParagraphFont"/>
    <w:uiPriority w:val="99"/>
    <w:semiHidden/>
    <w:unhideWhenUsed/>
    <w:rsid w:val="00F6130E"/>
    <w:rPr>
      <w:color w:val="808080"/>
      <w:shd w:val="clear" w:color="auto" w:fill="E6E6E6"/>
    </w:rPr>
  </w:style>
  <w:style w:type="character" w:customStyle="1" w:styleId="UnresolvedMention6">
    <w:name w:val="Unresolved Mention6"/>
    <w:basedOn w:val="DefaultParagraphFont"/>
    <w:uiPriority w:val="99"/>
    <w:semiHidden/>
    <w:unhideWhenUsed/>
    <w:rsid w:val="001018EF"/>
    <w:rPr>
      <w:color w:val="808080"/>
      <w:shd w:val="clear" w:color="auto" w:fill="E6E6E6"/>
    </w:rPr>
  </w:style>
  <w:style w:type="character" w:styleId="UnresolvedMention">
    <w:name w:val="Unresolved Mention"/>
    <w:basedOn w:val="DefaultParagraphFont"/>
    <w:uiPriority w:val="99"/>
    <w:semiHidden/>
    <w:unhideWhenUsed/>
    <w:rsid w:val="00776C33"/>
    <w:rPr>
      <w:color w:val="808080"/>
      <w:shd w:val="clear" w:color="auto" w:fill="E6E6E6"/>
    </w:rPr>
  </w:style>
  <w:style w:type="paragraph" w:customStyle="1" w:styleId="gdp">
    <w:name w:val="gd_p"/>
    <w:basedOn w:val="Normal"/>
    <w:rsid w:val="00186139"/>
    <w:pPr>
      <w:spacing w:before="100" w:beforeAutospacing="1" w:after="100" w:afterAutospacing="1"/>
    </w:pPr>
    <w:rPr>
      <w:rFonts w:ascii="Calibri" w:hAnsi="Calibri" w:cs="Calibri"/>
    </w:rPr>
  </w:style>
  <w:style w:type="table" w:styleId="TableGrid">
    <w:name w:val="Table Grid"/>
    <w:basedOn w:val="TableNormal"/>
    <w:uiPriority w:val="59"/>
    <w:rsid w:val="000F0E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36AD8"/>
    <w:rPr>
      <w:sz w:val="16"/>
      <w:szCs w:val="16"/>
    </w:rPr>
  </w:style>
  <w:style w:type="paragraph" w:styleId="CommentText">
    <w:name w:val="annotation text"/>
    <w:basedOn w:val="Normal"/>
    <w:link w:val="CommentTextChar"/>
    <w:uiPriority w:val="99"/>
    <w:semiHidden/>
    <w:unhideWhenUsed/>
    <w:rsid w:val="00436AD8"/>
    <w:rPr>
      <w:sz w:val="20"/>
      <w:szCs w:val="20"/>
    </w:rPr>
  </w:style>
  <w:style w:type="character" w:customStyle="1" w:styleId="CommentTextChar">
    <w:name w:val="Comment Text Char"/>
    <w:basedOn w:val="DefaultParagraphFont"/>
    <w:link w:val="CommentText"/>
    <w:uiPriority w:val="99"/>
    <w:semiHidden/>
    <w:rsid w:val="00436AD8"/>
    <w:rPr>
      <w:sz w:val="20"/>
      <w:szCs w:val="20"/>
    </w:rPr>
  </w:style>
  <w:style w:type="paragraph" w:styleId="CommentSubject">
    <w:name w:val="annotation subject"/>
    <w:basedOn w:val="CommentText"/>
    <w:next w:val="CommentText"/>
    <w:link w:val="CommentSubjectChar"/>
    <w:uiPriority w:val="99"/>
    <w:semiHidden/>
    <w:unhideWhenUsed/>
    <w:rsid w:val="00436AD8"/>
    <w:rPr>
      <w:b/>
      <w:bCs/>
    </w:rPr>
  </w:style>
  <w:style w:type="character" w:customStyle="1" w:styleId="CommentSubjectChar">
    <w:name w:val="Comment Subject Char"/>
    <w:basedOn w:val="CommentTextChar"/>
    <w:link w:val="CommentSubject"/>
    <w:uiPriority w:val="99"/>
    <w:semiHidden/>
    <w:rsid w:val="00436AD8"/>
    <w:rPr>
      <w:b/>
      <w:bCs/>
      <w:sz w:val="20"/>
      <w:szCs w:val="20"/>
    </w:rPr>
  </w:style>
  <w:style w:type="paragraph" w:styleId="Revision">
    <w:name w:val="Revision"/>
    <w:hidden/>
    <w:uiPriority w:val="99"/>
    <w:semiHidden/>
    <w:rsid w:val="00436AD8"/>
  </w:style>
  <w:style w:type="paragraph" w:styleId="z-BottomofForm">
    <w:name w:val="HTML Bottom of Form"/>
    <w:basedOn w:val="Normal"/>
    <w:next w:val="Normal"/>
    <w:link w:val="z-BottomofFormChar"/>
    <w:hidden/>
    <w:uiPriority w:val="99"/>
    <w:semiHidden/>
    <w:unhideWhenUsed/>
    <w:rsid w:val="0062172D"/>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2172D"/>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00A8D"/>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400A8D"/>
    <w:pPr>
      <w:pBdr>
        <w:bottom w:val="single" w:sz="6" w:space="1" w:color="auto"/>
      </w:pBdr>
      <w:jc w:val="center"/>
    </w:pPr>
    <w:rPr>
      <w:rFonts w:ascii="Arial" w:eastAsia="Times New Roman" w:hAnsi="Arial" w:cs="Arial"/>
      <w:vanish/>
      <w:sz w:val="16"/>
      <w:szCs w:val="16"/>
    </w:rPr>
  </w:style>
  <w:style w:type="paragraph" w:customStyle="1" w:styleId="msonormal0">
    <w:name w:val="msonormal"/>
    <w:basedOn w:val="Normal"/>
    <w:rsid w:val="00C42E9F"/>
    <w:pPr>
      <w:spacing w:before="100" w:beforeAutospacing="1" w:after="100" w:afterAutospacing="1"/>
    </w:pPr>
    <w:rPr>
      <w:rFonts w:ascii="Times New Roman" w:eastAsia="Times New Roman" w:hAnsi="Times New Roman" w:cs="Times New Roman"/>
      <w:sz w:val="24"/>
      <w:szCs w:val="24"/>
    </w:rPr>
  </w:style>
  <w:style w:type="paragraph" w:customStyle="1" w:styleId="xl65">
    <w:name w:val="xl65"/>
    <w:basedOn w:val="Normal"/>
    <w:rsid w:val="00C42E9F"/>
    <w:pPr>
      <w:pBdr>
        <w:top w:val="single" w:sz="8" w:space="0" w:color="000000"/>
        <w:bottom w:val="single" w:sz="8" w:space="0" w:color="000000"/>
        <w:right w:val="single" w:sz="8" w:space="0" w:color="000000"/>
      </w:pBdr>
      <w:shd w:val="clear" w:color="000000" w:fill="EEEEEE"/>
      <w:spacing w:before="100" w:beforeAutospacing="1" w:after="100" w:afterAutospacing="1"/>
      <w:ind w:firstLineChars="100" w:firstLine="100"/>
      <w:textAlignment w:val="center"/>
    </w:pPr>
    <w:rPr>
      <w:rFonts w:ascii="Arial" w:eastAsia="Times New Roman" w:hAnsi="Arial" w:cs="Arial"/>
      <w:color w:val="002060"/>
      <w:sz w:val="24"/>
      <w:szCs w:val="24"/>
    </w:rPr>
  </w:style>
  <w:style w:type="paragraph" w:customStyle="1" w:styleId="xl66">
    <w:name w:val="xl66"/>
    <w:basedOn w:val="Normal"/>
    <w:rsid w:val="00C42E9F"/>
    <w:pPr>
      <w:pBdr>
        <w:top w:val="single" w:sz="8" w:space="0" w:color="000000"/>
        <w:left w:val="single" w:sz="8" w:space="9" w:color="000000"/>
        <w:bottom w:val="single" w:sz="8" w:space="0" w:color="000000"/>
        <w:right w:val="single" w:sz="8" w:space="0" w:color="000000"/>
      </w:pBdr>
      <w:shd w:val="clear" w:color="000000" w:fill="EEEEEE"/>
      <w:spacing w:before="100" w:beforeAutospacing="1" w:after="100" w:afterAutospacing="1"/>
      <w:ind w:firstLineChars="100" w:firstLine="100"/>
      <w:textAlignment w:val="center"/>
    </w:pPr>
    <w:rPr>
      <w:rFonts w:ascii="Arial" w:eastAsia="Times New Roman" w:hAnsi="Arial" w:cs="Arial"/>
      <w:color w:val="002060"/>
      <w:sz w:val="24"/>
      <w:szCs w:val="24"/>
      <w:u w:val="single"/>
    </w:rPr>
  </w:style>
  <w:style w:type="paragraph" w:customStyle="1" w:styleId="xl67">
    <w:name w:val="xl67"/>
    <w:basedOn w:val="Normal"/>
    <w:rsid w:val="00C42E9F"/>
    <w:pPr>
      <w:pBdr>
        <w:top w:val="single" w:sz="8" w:space="0" w:color="000000"/>
        <w:left w:val="single" w:sz="8" w:space="9" w:color="000000"/>
        <w:bottom w:val="single" w:sz="8" w:space="0" w:color="000000"/>
        <w:right w:val="single" w:sz="8" w:space="0" w:color="000000"/>
      </w:pBdr>
      <w:shd w:val="clear" w:color="000000" w:fill="EEEEEE"/>
      <w:spacing w:before="100" w:beforeAutospacing="1" w:after="100" w:afterAutospacing="1"/>
      <w:ind w:firstLineChars="100" w:firstLine="100"/>
      <w:textAlignment w:val="center"/>
    </w:pPr>
    <w:rPr>
      <w:rFonts w:ascii="Arial" w:eastAsia="Times New Roman" w:hAnsi="Arial" w:cs="Arial"/>
      <w:color w:val="002060"/>
      <w:sz w:val="24"/>
      <w:szCs w:val="24"/>
    </w:rPr>
  </w:style>
  <w:style w:type="paragraph" w:customStyle="1" w:styleId="xl68">
    <w:name w:val="xl68"/>
    <w:basedOn w:val="Normal"/>
    <w:rsid w:val="00C42E9F"/>
    <w:pPr>
      <w:pBdr>
        <w:top w:val="single" w:sz="8" w:space="0" w:color="000000"/>
        <w:bottom w:val="single" w:sz="8" w:space="0" w:color="000000"/>
        <w:right w:val="single" w:sz="8" w:space="0" w:color="000000"/>
      </w:pBdr>
      <w:shd w:val="clear" w:color="000000" w:fill="FFFFFF"/>
      <w:spacing w:before="100" w:beforeAutospacing="1" w:after="100" w:afterAutospacing="1"/>
      <w:ind w:firstLineChars="100" w:firstLine="100"/>
      <w:textAlignment w:val="center"/>
    </w:pPr>
    <w:rPr>
      <w:rFonts w:ascii="Arial" w:eastAsia="Times New Roman" w:hAnsi="Arial" w:cs="Arial"/>
      <w:color w:val="002060"/>
      <w:sz w:val="24"/>
      <w:szCs w:val="24"/>
    </w:rPr>
  </w:style>
  <w:style w:type="paragraph" w:customStyle="1" w:styleId="xl69">
    <w:name w:val="xl69"/>
    <w:basedOn w:val="Normal"/>
    <w:rsid w:val="00C42E9F"/>
    <w:pPr>
      <w:pBdr>
        <w:top w:val="single" w:sz="8" w:space="0" w:color="000000"/>
        <w:left w:val="single" w:sz="8" w:space="9" w:color="000000"/>
        <w:bottom w:val="single" w:sz="8" w:space="0" w:color="000000"/>
        <w:right w:val="single" w:sz="8" w:space="0" w:color="000000"/>
      </w:pBdr>
      <w:shd w:val="clear" w:color="000000" w:fill="FFFFFF"/>
      <w:spacing w:before="100" w:beforeAutospacing="1" w:after="100" w:afterAutospacing="1"/>
      <w:ind w:firstLineChars="100" w:firstLine="100"/>
      <w:textAlignment w:val="center"/>
    </w:pPr>
    <w:rPr>
      <w:rFonts w:ascii="Arial" w:eastAsia="Times New Roman" w:hAnsi="Arial" w:cs="Arial"/>
      <w:color w:val="002060"/>
      <w:sz w:val="24"/>
      <w:szCs w:val="24"/>
      <w:u w:val="single"/>
    </w:rPr>
  </w:style>
  <w:style w:type="paragraph" w:customStyle="1" w:styleId="xl70">
    <w:name w:val="xl70"/>
    <w:basedOn w:val="Normal"/>
    <w:rsid w:val="00C42E9F"/>
    <w:pPr>
      <w:pBdr>
        <w:top w:val="single" w:sz="8" w:space="0" w:color="000000"/>
        <w:left w:val="single" w:sz="8" w:space="9" w:color="000000"/>
        <w:bottom w:val="single" w:sz="8" w:space="0" w:color="000000"/>
        <w:right w:val="single" w:sz="8" w:space="0" w:color="000000"/>
      </w:pBdr>
      <w:shd w:val="clear" w:color="000000" w:fill="FFFFFF"/>
      <w:spacing w:before="100" w:beforeAutospacing="1" w:after="100" w:afterAutospacing="1"/>
      <w:ind w:firstLineChars="100" w:firstLine="100"/>
      <w:textAlignment w:val="center"/>
    </w:pPr>
    <w:rPr>
      <w:rFonts w:ascii="Arial" w:eastAsia="Times New Roman" w:hAnsi="Arial" w:cs="Arial"/>
      <w:color w:val="002060"/>
      <w:sz w:val="24"/>
      <w:szCs w:val="24"/>
    </w:rPr>
  </w:style>
  <w:style w:type="paragraph" w:customStyle="1" w:styleId="xl71">
    <w:name w:val="xl71"/>
    <w:basedOn w:val="Normal"/>
    <w:rsid w:val="00C42E9F"/>
    <w:pPr>
      <w:pBdr>
        <w:top w:val="single" w:sz="8" w:space="0" w:color="01532A"/>
        <w:bottom w:val="single" w:sz="8" w:space="0" w:color="01532A"/>
        <w:right w:val="single" w:sz="8" w:space="0" w:color="01532A"/>
      </w:pBdr>
      <w:shd w:val="clear" w:color="000000" w:fill="EEEEEE"/>
      <w:spacing w:before="100" w:beforeAutospacing="1" w:after="100" w:afterAutospacing="1"/>
      <w:ind w:firstLineChars="100" w:firstLine="100"/>
      <w:textAlignment w:val="center"/>
    </w:pPr>
    <w:rPr>
      <w:rFonts w:ascii="Arial" w:eastAsia="Times New Roman" w:hAnsi="Arial" w:cs="Arial"/>
      <w:color w:val="002060"/>
      <w:sz w:val="24"/>
      <w:szCs w:val="24"/>
    </w:rPr>
  </w:style>
  <w:style w:type="paragraph" w:customStyle="1" w:styleId="xl72">
    <w:name w:val="xl72"/>
    <w:basedOn w:val="Normal"/>
    <w:rsid w:val="00C42E9F"/>
    <w:pPr>
      <w:pBdr>
        <w:top w:val="single" w:sz="8" w:space="0" w:color="01532A"/>
        <w:left w:val="single" w:sz="8" w:space="9" w:color="01532A"/>
        <w:bottom w:val="single" w:sz="8" w:space="0" w:color="01532A"/>
        <w:right w:val="single" w:sz="8" w:space="0" w:color="01532A"/>
      </w:pBdr>
      <w:shd w:val="clear" w:color="000000" w:fill="EEEEEE"/>
      <w:spacing w:before="100" w:beforeAutospacing="1" w:after="100" w:afterAutospacing="1"/>
      <w:ind w:firstLineChars="100" w:firstLine="100"/>
      <w:textAlignment w:val="center"/>
    </w:pPr>
    <w:rPr>
      <w:rFonts w:ascii="Arial" w:eastAsia="Times New Roman" w:hAnsi="Arial" w:cs="Arial"/>
      <w:color w:val="002060"/>
      <w:sz w:val="24"/>
      <w:szCs w:val="24"/>
      <w:u w:val="single"/>
    </w:rPr>
  </w:style>
  <w:style w:type="paragraph" w:customStyle="1" w:styleId="xl73">
    <w:name w:val="xl73"/>
    <w:basedOn w:val="Normal"/>
    <w:rsid w:val="00C42E9F"/>
    <w:pPr>
      <w:pBdr>
        <w:top w:val="single" w:sz="8" w:space="0" w:color="01532A"/>
        <w:left w:val="single" w:sz="8" w:space="9" w:color="01532A"/>
        <w:bottom w:val="single" w:sz="8" w:space="0" w:color="01532A"/>
        <w:right w:val="single" w:sz="8" w:space="0" w:color="01532A"/>
      </w:pBdr>
      <w:shd w:val="clear" w:color="000000" w:fill="EEEEEE"/>
      <w:spacing w:before="100" w:beforeAutospacing="1" w:after="100" w:afterAutospacing="1"/>
      <w:ind w:firstLineChars="100" w:firstLine="100"/>
      <w:textAlignment w:val="center"/>
    </w:pPr>
    <w:rPr>
      <w:rFonts w:ascii="Arial" w:eastAsia="Times New Roman" w:hAnsi="Arial" w:cs="Arial"/>
      <w:color w:val="002060"/>
      <w:sz w:val="24"/>
      <w:szCs w:val="24"/>
    </w:rPr>
  </w:style>
  <w:style w:type="paragraph" w:customStyle="1" w:styleId="xl74">
    <w:name w:val="xl74"/>
    <w:basedOn w:val="Normal"/>
    <w:rsid w:val="00C42E9F"/>
    <w:pPr>
      <w:spacing w:before="100" w:beforeAutospacing="1" w:after="100" w:afterAutospacing="1"/>
    </w:pPr>
    <w:rPr>
      <w:rFonts w:ascii="Arial" w:eastAsia="Times New Roman" w:hAnsi="Arial" w:cs="Arial"/>
      <w:color w:val="00206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8644">
      <w:bodyDiv w:val="1"/>
      <w:marLeft w:val="0"/>
      <w:marRight w:val="0"/>
      <w:marTop w:val="0"/>
      <w:marBottom w:val="0"/>
      <w:divBdr>
        <w:top w:val="none" w:sz="0" w:space="0" w:color="auto"/>
        <w:left w:val="none" w:sz="0" w:space="0" w:color="auto"/>
        <w:bottom w:val="none" w:sz="0" w:space="0" w:color="auto"/>
        <w:right w:val="none" w:sz="0" w:space="0" w:color="auto"/>
      </w:divBdr>
    </w:div>
    <w:div w:id="10840820">
      <w:bodyDiv w:val="1"/>
      <w:marLeft w:val="0"/>
      <w:marRight w:val="0"/>
      <w:marTop w:val="0"/>
      <w:marBottom w:val="0"/>
      <w:divBdr>
        <w:top w:val="none" w:sz="0" w:space="0" w:color="auto"/>
        <w:left w:val="none" w:sz="0" w:space="0" w:color="auto"/>
        <w:bottom w:val="none" w:sz="0" w:space="0" w:color="auto"/>
        <w:right w:val="none" w:sz="0" w:space="0" w:color="auto"/>
      </w:divBdr>
    </w:div>
    <w:div w:id="18969144">
      <w:marLeft w:val="0"/>
      <w:marRight w:val="0"/>
      <w:marTop w:val="0"/>
      <w:marBottom w:val="0"/>
      <w:divBdr>
        <w:top w:val="none" w:sz="0" w:space="0" w:color="auto"/>
        <w:left w:val="none" w:sz="0" w:space="0" w:color="auto"/>
        <w:bottom w:val="none" w:sz="0" w:space="0" w:color="auto"/>
        <w:right w:val="none" w:sz="0" w:space="0" w:color="auto"/>
      </w:divBdr>
      <w:divsChild>
        <w:div w:id="2063939806">
          <w:marLeft w:val="0"/>
          <w:marRight w:val="0"/>
          <w:marTop w:val="0"/>
          <w:marBottom w:val="0"/>
          <w:divBdr>
            <w:top w:val="none" w:sz="0" w:space="0" w:color="auto"/>
            <w:left w:val="none" w:sz="0" w:space="0" w:color="auto"/>
            <w:bottom w:val="none" w:sz="0" w:space="0" w:color="auto"/>
            <w:right w:val="none" w:sz="0" w:space="0" w:color="auto"/>
          </w:divBdr>
        </w:div>
        <w:div w:id="807866214">
          <w:marLeft w:val="0"/>
          <w:marRight w:val="0"/>
          <w:marTop w:val="0"/>
          <w:marBottom w:val="0"/>
          <w:divBdr>
            <w:top w:val="none" w:sz="0" w:space="0" w:color="auto"/>
            <w:left w:val="none" w:sz="0" w:space="0" w:color="auto"/>
            <w:bottom w:val="none" w:sz="0" w:space="0" w:color="auto"/>
            <w:right w:val="none" w:sz="0" w:space="0" w:color="auto"/>
          </w:divBdr>
        </w:div>
        <w:div w:id="1299263440">
          <w:marLeft w:val="0"/>
          <w:marRight w:val="0"/>
          <w:marTop w:val="0"/>
          <w:marBottom w:val="0"/>
          <w:divBdr>
            <w:top w:val="none" w:sz="0" w:space="0" w:color="auto"/>
            <w:left w:val="none" w:sz="0" w:space="0" w:color="auto"/>
            <w:bottom w:val="none" w:sz="0" w:space="0" w:color="auto"/>
            <w:right w:val="none" w:sz="0" w:space="0" w:color="auto"/>
          </w:divBdr>
        </w:div>
        <w:div w:id="461465362">
          <w:marLeft w:val="0"/>
          <w:marRight w:val="0"/>
          <w:marTop w:val="0"/>
          <w:marBottom w:val="0"/>
          <w:divBdr>
            <w:top w:val="none" w:sz="0" w:space="0" w:color="auto"/>
            <w:left w:val="none" w:sz="0" w:space="0" w:color="auto"/>
            <w:bottom w:val="none" w:sz="0" w:space="0" w:color="auto"/>
            <w:right w:val="none" w:sz="0" w:space="0" w:color="auto"/>
          </w:divBdr>
          <w:divsChild>
            <w:div w:id="147670809">
              <w:marLeft w:val="0"/>
              <w:marRight w:val="0"/>
              <w:marTop w:val="0"/>
              <w:marBottom w:val="0"/>
              <w:divBdr>
                <w:top w:val="none" w:sz="0" w:space="0" w:color="auto"/>
                <w:left w:val="none" w:sz="0" w:space="0" w:color="auto"/>
                <w:bottom w:val="none" w:sz="0" w:space="0" w:color="auto"/>
                <w:right w:val="none" w:sz="0" w:space="0" w:color="auto"/>
              </w:divBdr>
              <w:divsChild>
                <w:div w:id="1480070758">
                  <w:marLeft w:val="0"/>
                  <w:marRight w:val="0"/>
                  <w:marTop w:val="0"/>
                  <w:marBottom w:val="0"/>
                  <w:divBdr>
                    <w:top w:val="none" w:sz="0" w:space="0" w:color="auto"/>
                    <w:left w:val="none" w:sz="0" w:space="0" w:color="auto"/>
                    <w:bottom w:val="none" w:sz="0" w:space="0" w:color="auto"/>
                    <w:right w:val="none" w:sz="0" w:space="0" w:color="auto"/>
                  </w:divBdr>
                </w:div>
                <w:div w:id="125871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069133">
          <w:marLeft w:val="0"/>
          <w:marRight w:val="0"/>
          <w:marTop w:val="0"/>
          <w:marBottom w:val="0"/>
          <w:divBdr>
            <w:top w:val="none" w:sz="0" w:space="0" w:color="auto"/>
            <w:left w:val="none" w:sz="0" w:space="0" w:color="auto"/>
            <w:bottom w:val="none" w:sz="0" w:space="0" w:color="auto"/>
            <w:right w:val="none" w:sz="0" w:space="0" w:color="auto"/>
          </w:divBdr>
          <w:divsChild>
            <w:div w:id="98991442">
              <w:marLeft w:val="0"/>
              <w:marRight w:val="0"/>
              <w:marTop w:val="0"/>
              <w:marBottom w:val="0"/>
              <w:divBdr>
                <w:top w:val="none" w:sz="0" w:space="0" w:color="auto"/>
                <w:left w:val="none" w:sz="0" w:space="0" w:color="auto"/>
                <w:bottom w:val="none" w:sz="0" w:space="0" w:color="auto"/>
                <w:right w:val="none" w:sz="0" w:space="0" w:color="auto"/>
              </w:divBdr>
              <w:divsChild>
                <w:div w:id="1357775371">
                  <w:marLeft w:val="0"/>
                  <w:marRight w:val="0"/>
                  <w:marTop w:val="0"/>
                  <w:marBottom w:val="0"/>
                  <w:divBdr>
                    <w:top w:val="none" w:sz="0" w:space="0" w:color="auto"/>
                    <w:left w:val="none" w:sz="0" w:space="0" w:color="auto"/>
                    <w:bottom w:val="none" w:sz="0" w:space="0" w:color="auto"/>
                    <w:right w:val="none" w:sz="0" w:space="0" w:color="auto"/>
                  </w:divBdr>
                </w:div>
                <w:div w:id="2020958774">
                  <w:marLeft w:val="0"/>
                  <w:marRight w:val="0"/>
                  <w:marTop w:val="0"/>
                  <w:marBottom w:val="0"/>
                  <w:divBdr>
                    <w:top w:val="none" w:sz="0" w:space="0" w:color="auto"/>
                    <w:left w:val="none" w:sz="0" w:space="0" w:color="auto"/>
                    <w:bottom w:val="none" w:sz="0" w:space="0" w:color="auto"/>
                    <w:right w:val="none" w:sz="0" w:space="0" w:color="auto"/>
                  </w:divBdr>
                </w:div>
                <w:div w:id="125963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229836">
          <w:marLeft w:val="0"/>
          <w:marRight w:val="0"/>
          <w:marTop w:val="0"/>
          <w:marBottom w:val="0"/>
          <w:divBdr>
            <w:top w:val="none" w:sz="0" w:space="0" w:color="auto"/>
            <w:left w:val="none" w:sz="0" w:space="0" w:color="auto"/>
            <w:bottom w:val="none" w:sz="0" w:space="0" w:color="auto"/>
            <w:right w:val="none" w:sz="0" w:space="0" w:color="auto"/>
          </w:divBdr>
          <w:divsChild>
            <w:div w:id="1646472937">
              <w:marLeft w:val="0"/>
              <w:marRight w:val="0"/>
              <w:marTop w:val="0"/>
              <w:marBottom w:val="0"/>
              <w:divBdr>
                <w:top w:val="none" w:sz="0" w:space="0" w:color="auto"/>
                <w:left w:val="none" w:sz="0" w:space="0" w:color="auto"/>
                <w:bottom w:val="none" w:sz="0" w:space="0" w:color="auto"/>
                <w:right w:val="none" w:sz="0" w:space="0" w:color="auto"/>
              </w:divBdr>
              <w:divsChild>
                <w:div w:id="1177844962">
                  <w:marLeft w:val="0"/>
                  <w:marRight w:val="0"/>
                  <w:marTop w:val="0"/>
                  <w:marBottom w:val="0"/>
                  <w:divBdr>
                    <w:top w:val="none" w:sz="0" w:space="0" w:color="auto"/>
                    <w:left w:val="none" w:sz="0" w:space="0" w:color="auto"/>
                    <w:bottom w:val="none" w:sz="0" w:space="0" w:color="auto"/>
                    <w:right w:val="none" w:sz="0" w:space="0" w:color="auto"/>
                  </w:divBdr>
                </w:div>
                <w:div w:id="10250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75541">
      <w:bodyDiv w:val="1"/>
      <w:marLeft w:val="0"/>
      <w:marRight w:val="0"/>
      <w:marTop w:val="0"/>
      <w:marBottom w:val="0"/>
      <w:divBdr>
        <w:top w:val="none" w:sz="0" w:space="0" w:color="auto"/>
        <w:left w:val="none" w:sz="0" w:space="0" w:color="auto"/>
        <w:bottom w:val="none" w:sz="0" w:space="0" w:color="auto"/>
        <w:right w:val="none" w:sz="0" w:space="0" w:color="auto"/>
      </w:divBdr>
    </w:div>
    <w:div w:id="22443774">
      <w:bodyDiv w:val="1"/>
      <w:marLeft w:val="0"/>
      <w:marRight w:val="0"/>
      <w:marTop w:val="0"/>
      <w:marBottom w:val="0"/>
      <w:divBdr>
        <w:top w:val="none" w:sz="0" w:space="0" w:color="auto"/>
        <w:left w:val="none" w:sz="0" w:space="0" w:color="auto"/>
        <w:bottom w:val="none" w:sz="0" w:space="0" w:color="auto"/>
        <w:right w:val="none" w:sz="0" w:space="0" w:color="auto"/>
      </w:divBdr>
    </w:div>
    <w:div w:id="34544369">
      <w:bodyDiv w:val="1"/>
      <w:marLeft w:val="0"/>
      <w:marRight w:val="0"/>
      <w:marTop w:val="0"/>
      <w:marBottom w:val="0"/>
      <w:divBdr>
        <w:top w:val="none" w:sz="0" w:space="0" w:color="auto"/>
        <w:left w:val="none" w:sz="0" w:space="0" w:color="auto"/>
        <w:bottom w:val="none" w:sz="0" w:space="0" w:color="auto"/>
        <w:right w:val="none" w:sz="0" w:space="0" w:color="auto"/>
      </w:divBdr>
      <w:divsChild>
        <w:div w:id="1539781118">
          <w:marLeft w:val="0"/>
          <w:marRight w:val="0"/>
          <w:marTop w:val="0"/>
          <w:marBottom w:val="0"/>
          <w:divBdr>
            <w:top w:val="none" w:sz="0" w:space="0" w:color="auto"/>
            <w:left w:val="none" w:sz="0" w:space="0" w:color="auto"/>
            <w:bottom w:val="none" w:sz="0" w:space="0" w:color="auto"/>
            <w:right w:val="none" w:sz="0" w:space="0" w:color="auto"/>
          </w:divBdr>
          <w:divsChild>
            <w:div w:id="13770012">
              <w:marLeft w:val="0"/>
              <w:marRight w:val="0"/>
              <w:marTop w:val="0"/>
              <w:marBottom w:val="0"/>
              <w:divBdr>
                <w:top w:val="none" w:sz="0" w:space="0" w:color="auto"/>
                <w:left w:val="none" w:sz="0" w:space="0" w:color="auto"/>
                <w:bottom w:val="none" w:sz="0" w:space="0" w:color="auto"/>
                <w:right w:val="none" w:sz="0" w:space="0" w:color="auto"/>
              </w:divBdr>
              <w:divsChild>
                <w:div w:id="812142634">
                  <w:marLeft w:val="0"/>
                  <w:marRight w:val="0"/>
                  <w:marTop w:val="0"/>
                  <w:marBottom w:val="0"/>
                  <w:divBdr>
                    <w:top w:val="none" w:sz="0" w:space="0" w:color="auto"/>
                    <w:left w:val="none" w:sz="0" w:space="0" w:color="auto"/>
                    <w:bottom w:val="none" w:sz="0" w:space="0" w:color="auto"/>
                    <w:right w:val="none" w:sz="0" w:space="0" w:color="auto"/>
                  </w:divBdr>
                  <w:divsChild>
                    <w:div w:id="729109524">
                      <w:marLeft w:val="-225"/>
                      <w:marRight w:val="-225"/>
                      <w:marTop w:val="0"/>
                      <w:marBottom w:val="0"/>
                      <w:divBdr>
                        <w:top w:val="none" w:sz="0" w:space="0" w:color="auto"/>
                        <w:left w:val="none" w:sz="0" w:space="0" w:color="auto"/>
                        <w:bottom w:val="none" w:sz="0" w:space="0" w:color="auto"/>
                        <w:right w:val="none" w:sz="0" w:space="0" w:color="auto"/>
                      </w:divBdr>
                      <w:divsChild>
                        <w:div w:id="277373146">
                          <w:marLeft w:val="0"/>
                          <w:marRight w:val="0"/>
                          <w:marTop w:val="0"/>
                          <w:marBottom w:val="0"/>
                          <w:divBdr>
                            <w:top w:val="none" w:sz="0" w:space="0" w:color="auto"/>
                            <w:left w:val="none" w:sz="0" w:space="0" w:color="auto"/>
                            <w:bottom w:val="none" w:sz="0" w:space="0" w:color="auto"/>
                            <w:right w:val="none" w:sz="0" w:space="0" w:color="auto"/>
                          </w:divBdr>
                          <w:divsChild>
                            <w:div w:id="1367364024">
                              <w:marLeft w:val="0"/>
                              <w:marRight w:val="0"/>
                              <w:marTop w:val="0"/>
                              <w:marBottom w:val="0"/>
                              <w:divBdr>
                                <w:top w:val="none" w:sz="0" w:space="0" w:color="auto"/>
                                <w:left w:val="none" w:sz="0" w:space="0" w:color="auto"/>
                                <w:bottom w:val="none" w:sz="0" w:space="0" w:color="auto"/>
                                <w:right w:val="none" w:sz="0" w:space="0" w:color="auto"/>
                              </w:divBdr>
                              <w:divsChild>
                                <w:div w:id="236717375">
                                  <w:marLeft w:val="0"/>
                                  <w:marRight w:val="0"/>
                                  <w:marTop w:val="0"/>
                                  <w:marBottom w:val="0"/>
                                  <w:divBdr>
                                    <w:top w:val="none" w:sz="0" w:space="0" w:color="auto"/>
                                    <w:left w:val="none" w:sz="0" w:space="0" w:color="auto"/>
                                    <w:bottom w:val="none" w:sz="0" w:space="0" w:color="auto"/>
                                    <w:right w:val="none" w:sz="0" w:space="0" w:color="auto"/>
                                  </w:divBdr>
                                  <w:divsChild>
                                    <w:div w:id="1591037711">
                                      <w:marLeft w:val="0"/>
                                      <w:marRight w:val="0"/>
                                      <w:marTop w:val="0"/>
                                      <w:marBottom w:val="0"/>
                                      <w:divBdr>
                                        <w:top w:val="none" w:sz="0" w:space="0" w:color="auto"/>
                                        <w:left w:val="none" w:sz="0" w:space="0" w:color="auto"/>
                                        <w:bottom w:val="none" w:sz="0" w:space="0" w:color="auto"/>
                                        <w:right w:val="none" w:sz="0" w:space="0" w:color="auto"/>
                                      </w:divBdr>
                                      <w:divsChild>
                                        <w:div w:id="913514554">
                                          <w:marLeft w:val="0"/>
                                          <w:marRight w:val="0"/>
                                          <w:marTop w:val="0"/>
                                          <w:marBottom w:val="0"/>
                                          <w:divBdr>
                                            <w:top w:val="none" w:sz="0" w:space="0" w:color="auto"/>
                                            <w:left w:val="none" w:sz="0" w:space="0" w:color="auto"/>
                                            <w:bottom w:val="none" w:sz="0" w:space="0" w:color="auto"/>
                                            <w:right w:val="none" w:sz="0" w:space="0" w:color="auto"/>
                                          </w:divBdr>
                                          <w:divsChild>
                                            <w:div w:id="864253441">
                                              <w:marLeft w:val="0"/>
                                              <w:marRight w:val="0"/>
                                              <w:marTop w:val="0"/>
                                              <w:marBottom w:val="0"/>
                                              <w:divBdr>
                                                <w:top w:val="none" w:sz="0" w:space="0" w:color="auto"/>
                                                <w:left w:val="none" w:sz="0" w:space="0" w:color="auto"/>
                                                <w:bottom w:val="none" w:sz="0" w:space="0" w:color="auto"/>
                                                <w:right w:val="none" w:sz="0" w:space="0" w:color="auto"/>
                                              </w:divBdr>
                                              <w:divsChild>
                                                <w:div w:id="381028764">
                                                  <w:marLeft w:val="0"/>
                                                  <w:marRight w:val="0"/>
                                                  <w:marTop w:val="0"/>
                                                  <w:marBottom w:val="0"/>
                                                  <w:divBdr>
                                                    <w:top w:val="none" w:sz="0" w:space="0" w:color="auto"/>
                                                    <w:left w:val="none" w:sz="0" w:space="0" w:color="auto"/>
                                                    <w:bottom w:val="none" w:sz="0" w:space="0" w:color="auto"/>
                                                    <w:right w:val="none" w:sz="0" w:space="0" w:color="auto"/>
                                                  </w:divBdr>
                                                  <w:divsChild>
                                                    <w:div w:id="1505820926">
                                                      <w:marLeft w:val="0"/>
                                                      <w:marRight w:val="0"/>
                                                      <w:marTop w:val="0"/>
                                                      <w:marBottom w:val="0"/>
                                                      <w:divBdr>
                                                        <w:top w:val="none" w:sz="0" w:space="0" w:color="auto"/>
                                                        <w:left w:val="none" w:sz="0" w:space="0" w:color="auto"/>
                                                        <w:bottom w:val="none" w:sz="0" w:space="0" w:color="auto"/>
                                                        <w:right w:val="none" w:sz="0" w:space="0" w:color="auto"/>
                                                      </w:divBdr>
                                                      <w:divsChild>
                                                        <w:div w:id="945698302">
                                                          <w:marLeft w:val="0"/>
                                                          <w:marRight w:val="0"/>
                                                          <w:marTop w:val="0"/>
                                                          <w:marBottom w:val="0"/>
                                                          <w:divBdr>
                                                            <w:top w:val="none" w:sz="0" w:space="0" w:color="auto"/>
                                                            <w:left w:val="none" w:sz="0" w:space="0" w:color="auto"/>
                                                            <w:bottom w:val="none" w:sz="0" w:space="0" w:color="auto"/>
                                                            <w:right w:val="none" w:sz="0" w:space="0" w:color="auto"/>
                                                          </w:divBdr>
                                                          <w:divsChild>
                                                            <w:div w:id="1757359712">
                                                              <w:marLeft w:val="0"/>
                                                              <w:marRight w:val="0"/>
                                                              <w:marTop w:val="0"/>
                                                              <w:marBottom w:val="0"/>
                                                              <w:divBdr>
                                                                <w:top w:val="none" w:sz="0" w:space="0" w:color="auto"/>
                                                                <w:left w:val="none" w:sz="0" w:space="0" w:color="auto"/>
                                                                <w:bottom w:val="none" w:sz="0" w:space="0" w:color="auto"/>
                                                                <w:right w:val="none" w:sz="0" w:space="0" w:color="auto"/>
                                                              </w:divBdr>
                                                              <w:divsChild>
                                                                <w:div w:id="113764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206338">
      <w:bodyDiv w:val="1"/>
      <w:marLeft w:val="0"/>
      <w:marRight w:val="0"/>
      <w:marTop w:val="0"/>
      <w:marBottom w:val="0"/>
      <w:divBdr>
        <w:top w:val="none" w:sz="0" w:space="0" w:color="auto"/>
        <w:left w:val="none" w:sz="0" w:space="0" w:color="auto"/>
        <w:bottom w:val="none" w:sz="0" w:space="0" w:color="auto"/>
        <w:right w:val="none" w:sz="0" w:space="0" w:color="auto"/>
      </w:divBdr>
    </w:div>
    <w:div w:id="38477349">
      <w:bodyDiv w:val="1"/>
      <w:marLeft w:val="0"/>
      <w:marRight w:val="0"/>
      <w:marTop w:val="0"/>
      <w:marBottom w:val="0"/>
      <w:divBdr>
        <w:top w:val="none" w:sz="0" w:space="0" w:color="auto"/>
        <w:left w:val="none" w:sz="0" w:space="0" w:color="auto"/>
        <w:bottom w:val="none" w:sz="0" w:space="0" w:color="auto"/>
        <w:right w:val="none" w:sz="0" w:space="0" w:color="auto"/>
      </w:divBdr>
    </w:div>
    <w:div w:id="50160137">
      <w:bodyDiv w:val="1"/>
      <w:marLeft w:val="0"/>
      <w:marRight w:val="0"/>
      <w:marTop w:val="0"/>
      <w:marBottom w:val="0"/>
      <w:divBdr>
        <w:top w:val="none" w:sz="0" w:space="0" w:color="auto"/>
        <w:left w:val="none" w:sz="0" w:space="0" w:color="auto"/>
        <w:bottom w:val="none" w:sz="0" w:space="0" w:color="auto"/>
        <w:right w:val="none" w:sz="0" w:space="0" w:color="auto"/>
      </w:divBdr>
    </w:div>
    <w:div w:id="58943829">
      <w:bodyDiv w:val="1"/>
      <w:marLeft w:val="0"/>
      <w:marRight w:val="0"/>
      <w:marTop w:val="0"/>
      <w:marBottom w:val="0"/>
      <w:divBdr>
        <w:top w:val="none" w:sz="0" w:space="0" w:color="auto"/>
        <w:left w:val="none" w:sz="0" w:space="0" w:color="auto"/>
        <w:bottom w:val="none" w:sz="0" w:space="0" w:color="auto"/>
        <w:right w:val="none" w:sz="0" w:space="0" w:color="auto"/>
      </w:divBdr>
    </w:div>
    <w:div w:id="60099851">
      <w:bodyDiv w:val="1"/>
      <w:marLeft w:val="0"/>
      <w:marRight w:val="0"/>
      <w:marTop w:val="0"/>
      <w:marBottom w:val="0"/>
      <w:divBdr>
        <w:top w:val="none" w:sz="0" w:space="0" w:color="auto"/>
        <w:left w:val="none" w:sz="0" w:space="0" w:color="auto"/>
        <w:bottom w:val="none" w:sz="0" w:space="0" w:color="auto"/>
        <w:right w:val="none" w:sz="0" w:space="0" w:color="auto"/>
      </w:divBdr>
    </w:div>
    <w:div w:id="62218188">
      <w:bodyDiv w:val="1"/>
      <w:marLeft w:val="0"/>
      <w:marRight w:val="0"/>
      <w:marTop w:val="0"/>
      <w:marBottom w:val="0"/>
      <w:divBdr>
        <w:top w:val="none" w:sz="0" w:space="0" w:color="auto"/>
        <w:left w:val="none" w:sz="0" w:space="0" w:color="auto"/>
        <w:bottom w:val="none" w:sz="0" w:space="0" w:color="auto"/>
        <w:right w:val="none" w:sz="0" w:space="0" w:color="auto"/>
      </w:divBdr>
    </w:div>
    <w:div w:id="66198457">
      <w:bodyDiv w:val="1"/>
      <w:marLeft w:val="0"/>
      <w:marRight w:val="0"/>
      <w:marTop w:val="0"/>
      <w:marBottom w:val="0"/>
      <w:divBdr>
        <w:top w:val="none" w:sz="0" w:space="0" w:color="auto"/>
        <w:left w:val="none" w:sz="0" w:space="0" w:color="auto"/>
        <w:bottom w:val="none" w:sz="0" w:space="0" w:color="auto"/>
        <w:right w:val="none" w:sz="0" w:space="0" w:color="auto"/>
      </w:divBdr>
      <w:divsChild>
        <w:div w:id="1689673942">
          <w:marLeft w:val="0"/>
          <w:marRight w:val="0"/>
          <w:marTop w:val="0"/>
          <w:marBottom w:val="0"/>
          <w:divBdr>
            <w:top w:val="none" w:sz="0" w:space="0" w:color="auto"/>
            <w:left w:val="none" w:sz="0" w:space="0" w:color="auto"/>
            <w:bottom w:val="none" w:sz="0" w:space="0" w:color="auto"/>
            <w:right w:val="none" w:sz="0" w:space="0" w:color="auto"/>
          </w:divBdr>
          <w:divsChild>
            <w:div w:id="1813326670">
              <w:marLeft w:val="0"/>
              <w:marRight w:val="0"/>
              <w:marTop w:val="0"/>
              <w:marBottom w:val="0"/>
              <w:divBdr>
                <w:top w:val="none" w:sz="0" w:space="0" w:color="auto"/>
                <w:left w:val="none" w:sz="0" w:space="0" w:color="auto"/>
                <w:bottom w:val="none" w:sz="0" w:space="0" w:color="auto"/>
                <w:right w:val="none" w:sz="0" w:space="0" w:color="auto"/>
              </w:divBdr>
              <w:divsChild>
                <w:div w:id="942803114">
                  <w:marLeft w:val="0"/>
                  <w:marRight w:val="0"/>
                  <w:marTop w:val="0"/>
                  <w:marBottom w:val="0"/>
                  <w:divBdr>
                    <w:top w:val="none" w:sz="0" w:space="0" w:color="auto"/>
                    <w:left w:val="none" w:sz="0" w:space="0" w:color="auto"/>
                    <w:bottom w:val="none" w:sz="0" w:space="0" w:color="auto"/>
                    <w:right w:val="none" w:sz="0" w:space="0" w:color="auto"/>
                  </w:divBdr>
                  <w:divsChild>
                    <w:div w:id="1146237513">
                      <w:marLeft w:val="0"/>
                      <w:marRight w:val="0"/>
                      <w:marTop w:val="0"/>
                      <w:marBottom w:val="0"/>
                      <w:divBdr>
                        <w:top w:val="none" w:sz="0" w:space="0" w:color="auto"/>
                        <w:left w:val="none" w:sz="0" w:space="0" w:color="auto"/>
                        <w:bottom w:val="none" w:sz="0" w:space="0" w:color="auto"/>
                        <w:right w:val="none" w:sz="0" w:space="0" w:color="auto"/>
                      </w:divBdr>
                      <w:divsChild>
                        <w:div w:id="1136220608">
                          <w:marLeft w:val="0"/>
                          <w:marRight w:val="0"/>
                          <w:marTop w:val="0"/>
                          <w:marBottom w:val="0"/>
                          <w:divBdr>
                            <w:top w:val="none" w:sz="0" w:space="0" w:color="auto"/>
                            <w:left w:val="none" w:sz="0" w:space="0" w:color="auto"/>
                            <w:bottom w:val="none" w:sz="0" w:space="0" w:color="auto"/>
                            <w:right w:val="none" w:sz="0" w:space="0" w:color="auto"/>
                          </w:divBdr>
                          <w:divsChild>
                            <w:div w:id="124776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210157">
      <w:bodyDiv w:val="1"/>
      <w:marLeft w:val="0"/>
      <w:marRight w:val="0"/>
      <w:marTop w:val="0"/>
      <w:marBottom w:val="0"/>
      <w:divBdr>
        <w:top w:val="none" w:sz="0" w:space="0" w:color="auto"/>
        <w:left w:val="none" w:sz="0" w:space="0" w:color="auto"/>
        <w:bottom w:val="none" w:sz="0" w:space="0" w:color="auto"/>
        <w:right w:val="none" w:sz="0" w:space="0" w:color="auto"/>
      </w:divBdr>
    </w:div>
    <w:div w:id="87628831">
      <w:bodyDiv w:val="1"/>
      <w:marLeft w:val="0"/>
      <w:marRight w:val="0"/>
      <w:marTop w:val="0"/>
      <w:marBottom w:val="0"/>
      <w:divBdr>
        <w:top w:val="none" w:sz="0" w:space="0" w:color="auto"/>
        <w:left w:val="none" w:sz="0" w:space="0" w:color="auto"/>
        <w:bottom w:val="none" w:sz="0" w:space="0" w:color="auto"/>
        <w:right w:val="none" w:sz="0" w:space="0" w:color="auto"/>
      </w:divBdr>
    </w:div>
    <w:div w:id="94568611">
      <w:marLeft w:val="0"/>
      <w:marRight w:val="0"/>
      <w:marTop w:val="0"/>
      <w:marBottom w:val="0"/>
      <w:divBdr>
        <w:top w:val="none" w:sz="0" w:space="0" w:color="auto"/>
        <w:left w:val="none" w:sz="0" w:space="0" w:color="auto"/>
        <w:bottom w:val="none" w:sz="0" w:space="0" w:color="auto"/>
        <w:right w:val="none" w:sz="0" w:space="0" w:color="auto"/>
      </w:divBdr>
      <w:divsChild>
        <w:div w:id="294533143">
          <w:marLeft w:val="0"/>
          <w:marRight w:val="0"/>
          <w:marTop w:val="0"/>
          <w:marBottom w:val="0"/>
          <w:divBdr>
            <w:top w:val="none" w:sz="0" w:space="0" w:color="auto"/>
            <w:left w:val="none" w:sz="0" w:space="0" w:color="auto"/>
            <w:bottom w:val="none" w:sz="0" w:space="0" w:color="auto"/>
            <w:right w:val="none" w:sz="0" w:space="0" w:color="auto"/>
          </w:divBdr>
          <w:divsChild>
            <w:div w:id="305818011">
              <w:marLeft w:val="0"/>
              <w:marRight w:val="0"/>
              <w:marTop w:val="0"/>
              <w:marBottom w:val="0"/>
              <w:divBdr>
                <w:top w:val="none" w:sz="0" w:space="0" w:color="auto"/>
                <w:left w:val="none" w:sz="0" w:space="0" w:color="auto"/>
                <w:bottom w:val="none" w:sz="0" w:space="0" w:color="auto"/>
                <w:right w:val="none" w:sz="0" w:space="0" w:color="auto"/>
              </w:divBdr>
            </w:div>
          </w:divsChild>
        </w:div>
        <w:div w:id="789208451">
          <w:marLeft w:val="0"/>
          <w:marRight w:val="0"/>
          <w:marTop w:val="0"/>
          <w:marBottom w:val="0"/>
          <w:divBdr>
            <w:top w:val="none" w:sz="0" w:space="0" w:color="auto"/>
            <w:left w:val="none" w:sz="0" w:space="0" w:color="auto"/>
            <w:bottom w:val="none" w:sz="0" w:space="0" w:color="auto"/>
            <w:right w:val="none" w:sz="0" w:space="0" w:color="auto"/>
          </w:divBdr>
          <w:divsChild>
            <w:div w:id="855726604">
              <w:marLeft w:val="0"/>
              <w:marRight w:val="0"/>
              <w:marTop w:val="0"/>
              <w:marBottom w:val="0"/>
              <w:divBdr>
                <w:top w:val="none" w:sz="0" w:space="0" w:color="auto"/>
                <w:left w:val="none" w:sz="0" w:space="0" w:color="auto"/>
                <w:bottom w:val="none" w:sz="0" w:space="0" w:color="auto"/>
                <w:right w:val="none" w:sz="0" w:space="0" w:color="auto"/>
              </w:divBdr>
              <w:divsChild>
                <w:div w:id="505751166">
                  <w:marLeft w:val="0"/>
                  <w:marRight w:val="0"/>
                  <w:marTop w:val="0"/>
                  <w:marBottom w:val="0"/>
                  <w:divBdr>
                    <w:top w:val="none" w:sz="0" w:space="0" w:color="auto"/>
                    <w:left w:val="none" w:sz="0" w:space="0" w:color="auto"/>
                    <w:bottom w:val="none" w:sz="0" w:space="0" w:color="auto"/>
                    <w:right w:val="none" w:sz="0" w:space="0" w:color="auto"/>
                  </w:divBdr>
                  <w:divsChild>
                    <w:div w:id="139559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099831">
      <w:bodyDiv w:val="1"/>
      <w:marLeft w:val="0"/>
      <w:marRight w:val="0"/>
      <w:marTop w:val="0"/>
      <w:marBottom w:val="0"/>
      <w:divBdr>
        <w:top w:val="none" w:sz="0" w:space="0" w:color="auto"/>
        <w:left w:val="none" w:sz="0" w:space="0" w:color="auto"/>
        <w:bottom w:val="none" w:sz="0" w:space="0" w:color="auto"/>
        <w:right w:val="none" w:sz="0" w:space="0" w:color="auto"/>
      </w:divBdr>
    </w:div>
    <w:div w:id="97801768">
      <w:marLeft w:val="0"/>
      <w:marRight w:val="0"/>
      <w:marTop w:val="0"/>
      <w:marBottom w:val="0"/>
      <w:divBdr>
        <w:top w:val="none" w:sz="0" w:space="0" w:color="auto"/>
        <w:left w:val="none" w:sz="0" w:space="0" w:color="auto"/>
        <w:bottom w:val="none" w:sz="0" w:space="0" w:color="auto"/>
        <w:right w:val="none" w:sz="0" w:space="0" w:color="auto"/>
      </w:divBdr>
    </w:div>
    <w:div w:id="99037569">
      <w:bodyDiv w:val="1"/>
      <w:marLeft w:val="0"/>
      <w:marRight w:val="0"/>
      <w:marTop w:val="0"/>
      <w:marBottom w:val="0"/>
      <w:divBdr>
        <w:top w:val="none" w:sz="0" w:space="0" w:color="auto"/>
        <w:left w:val="none" w:sz="0" w:space="0" w:color="auto"/>
        <w:bottom w:val="none" w:sz="0" w:space="0" w:color="auto"/>
        <w:right w:val="none" w:sz="0" w:space="0" w:color="auto"/>
      </w:divBdr>
      <w:divsChild>
        <w:div w:id="1441144230">
          <w:marLeft w:val="0"/>
          <w:marRight w:val="0"/>
          <w:marTop w:val="0"/>
          <w:marBottom w:val="0"/>
          <w:divBdr>
            <w:top w:val="none" w:sz="0" w:space="0" w:color="auto"/>
            <w:left w:val="none" w:sz="0" w:space="0" w:color="auto"/>
            <w:bottom w:val="none" w:sz="0" w:space="0" w:color="auto"/>
            <w:right w:val="none" w:sz="0" w:space="0" w:color="auto"/>
          </w:divBdr>
          <w:divsChild>
            <w:div w:id="225073584">
              <w:marLeft w:val="0"/>
              <w:marRight w:val="0"/>
              <w:marTop w:val="0"/>
              <w:marBottom w:val="0"/>
              <w:divBdr>
                <w:top w:val="none" w:sz="0" w:space="0" w:color="auto"/>
                <w:left w:val="none" w:sz="0" w:space="0" w:color="auto"/>
                <w:bottom w:val="none" w:sz="0" w:space="0" w:color="auto"/>
                <w:right w:val="none" w:sz="0" w:space="0" w:color="auto"/>
              </w:divBdr>
              <w:divsChild>
                <w:div w:id="405803583">
                  <w:marLeft w:val="0"/>
                  <w:marRight w:val="0"/>
                  <w:marTop w:val="0"/>
                  <w:marBottom w:val="0"/>
                  <w:divBdr>
                    <w:top w:val="none" w:sz="0" w:space="0" w:color="auto"/>
                    <w:left w:val="none" w:sz="0" w:space="0" w:color="auto"/>
                    <w:bottom w:val="none" w:sz="0" w:space="0" w:color="auto"/>
                    <w:right w:val="none" w:sz="0" w:space="0" w:color="auto"/>
                  </w:divBdr>
                  <w:divsChild>
                    <w:div w:id="534854651">
                      <w:marLeft w:val="0"/>
                      <w:marRight w:val="0"/>
                      <w:marTop w:val="0"/>
                      <w:marBottom w:val="0"/>
                      <w:divBdr>
                        <w:top w:val="none" w:sz="0" w:space="0" w:color="auto"/>
                        <w:left w:val="none" w:sz="0" w:space="0" w:color="auto"/>
                        <w:bottom w:val="none" w:sz="0" w:space="0" w:color="auto"/>
                        <w:right w:val="none" w:sz="0" w:space="0" w:color="auto"/>
                      </w:divBdr>
                      <w:divsChild>
                        <w:div w:id="1156458426">
                          <w:marLeft w:val="0"/>
                          <w:marRight w:val="0"/>
                          <w:marTop w:val="0"/>
                          <w:marBottom w:val="0"/>
                          <w:divBdr>
                            <w:top w:val="none" w:sz="0" w:space="0" w:color="auto"/>
                            <w:left w:val="none" w:sz="0" w:space="0" w:color="auto"/>
                            <w:bottom w:val="none" w:sz="0" w:space="0" w:color="auto"/>
                            <w:right w:val="none" w:sz="0" w:space="0" w:color="auto"/>
                          </w:divBdr>
                          <w:divsChild>
                            <w:div w:id="35940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266458">
      <w:bodyDiv w:val="1"/>
      <w:marLeft w:val="0"/>
      <w:marRight w:val="0"/>
      <w:marTop w:val="0"/>
      <w:marBottom w:val="0"/>
      <w:divBdr>
        <w:top w:val="none" w:sz="0" w:space="0" w:color="auto"/>
        <w:left w:val="none" w:sz="0" w:space="0" w:color="auto"/>
        <w:bottom w:val="none" w:sz="0" w:space="0" w:color="auto"/>
        <w:right w:val="none" w:sz="0" w:space="0" w:color="auto"/>
      </w:divBdr>
    </w:div>
    <w:div w:id="104808796">
      <w:bodyDiv w:val="1"/>
      <w:marLeft w:val="0"/>
      <w:marRight w:val="0"/>
      <w:marTop w:val="0"/>
      <w:marBottom w:val="0"/>
      <w:divBdr>
        <w:top w:val="none" w:sz="0" w:space="0" w:color="auto"/>
        <w:left w:val="none" w:sz="0" w:space="0" w:color="auto"/>
        <w:bottom w:val="none" w:sz="0" w:space="0" w:color="auto"/>
        <w:right w:val="none" w:sz="0" w:space="0" w:color="auto"/>
      </w:divBdr>
    </w:div>
    <w:div w:id="109670506">
      <w:bodyDiv w:val="1"/>
      <w:marLeft w:val="0"/>
      <w:marRight w:val="0"/>
      <w:marTop w:val="0"/>
      <w:marBottom w:val="0"/>
      <w:divBdr>
        <w:top w:val="none" w:sz="0" w:space="0" w:color="auto"/>
        <w:left w:val="none" w:sz="0" w:space="0" w:color="auto"/>
        <w:bottom w:val="none" w:sz="0" w:space="0" w:color="auto"/>
        <w:right w:val="none" w:sz="0" w:space="0" w:color="auto"/>
      </w:divBdr>
    </w:div>
    <w:div w:id="115178684">
      <w:bodyDiv w:val="1"/>
      <w:marLeft w:val="0"/>
      <w:marRight w:val="0"/>
      <w:marTop w:val="0"/>
      <w:marBottom w:val="0"/>
      <w:divBdr>
        <w:top w:val="none" w:sz="0" w:space="0" w:color="auto"/>
        <w:left w:val="none" w:sz="0" w:space="0" w:color="auto"/>
        <w:bottom w:val="none" w:sz="0" w:space="0" w:color="auto"/>
        <w:right w:val="none" w:sz="0" w:space="0" w:color="auto"/>
      </w:divBdr>
    </w:div>
    <w:div w:id="117188611">
      <w:marLeft w:val="0"/>
      <w:marRight w:val="0"/>
      <w:marTop w:val="0"/>
      <w:marBottom w:val="0"/>
      <w:divBdr>
        <w:top w:val="none" w:sz="0" w:space="0" w:color="auto"/>
        <w:left w:val="none" w:sz="0" w:space="0" w:color="auto"/>
        <w:bottom w:val="none" w:sz="0" w:space="0" w:color="auto"/>
        <w:right w:val="none" w:sz="0" w:space="0" w:color="auto"/>
      </w:divBdr>
    </w:div>
    <w:div w:id="126558464">
      <w:bodyDiv w:val="1"/>
      <w:marLeft w:val="0"/>
      <w:marRight w:val="0"/>
      <w:marTop w:val="0"/>
      <w:marBottom w:val="0"/>
      <w:divBdr>
        <w:top w:val="none" w:sz="0" w:space="0" w:color="auto"/>
        <w:left w:val="none" w:sz="0" w:space="0" w:color="auto"/>
        <w:bottom w:val="none" w:sz="0" w:space="0" w:color="auto"/>
        <w:right w:val="none" w:sz="0" w:space="0" w:color="auto"/>
      </w:divBdr>
    </w:div>
    <w:div w:id="140930923">
      <w:bodyDiv w:val="1"/>
      <w:marLeft w:val="0"/>
      <w:marRight w:val="0"/>
      <w:marTop w:val="0"/>
      <w:marBottom w:val="0"/>
      <w:divBdr>
        <w:top w:val="none" w:sz="0" w:space="0" w:color="auto"/>
        <w:left w:val="none" w:sz="0" w:space="0" w:color="auto"/>
        <w:bottom w:val="none" w:sz="0" w:space="0" w:color="auto"/>
        <w:right w:val="none" w:sz="0" w:space="0" w:color="auto"/>
      </w:divBdr>
    </w:div>
    <w:div w:id="141971200">
      <w:bodyDiv w:val="1"/>
      <w:marLeft w:val="0"/>
      <w:marRight w:val="0"/>
      <w:marTop w:val="0"/>
      <w:marBottom w:val="0"/>
      <w:divBdr>
        <w:top w:val="none" w:sz="0" w:space="0" w:color="auto"/>
        <w:left w:val="none" w:sz="0" w:space="0" w:color="auto"/>
        <w:bottom w:val="none" w:sz="0" w:space="0" w:color="auto"/>
        <w:right w:val="none" w:sz="0" w:space="0" w:color="auto"/>
      </w:divBdr>
    </w:div>
    <w:div w:id="160004443">
      <w:bodyDiv w:val="1"/>
      <w:marLeft w:val="0"/>
      <w:marRight w:val="0"/>
      <w:marTop w:val="0"/>
      <w:marBottom w:val="0"/>
      <w:divBdr>
        <w:top w:val="none" w:sz="0" w:space="0" w:color="auto"/>
        <w:left w:val="none" w:sz="0" w:space="0" w:color="auto"/>
        <w:bottom w:val="none" w:sz="0" w:space="0" w:color="auto"/>
        <w:right w:val="none" w:sz="0" w:space="0" w:color="auto"/>
      </w:divBdr>
      <w:divsChild>
        <w:div w:id="2008709116">
          <w:marLeft w:val="0"/>
          <w:marRight w:val="0"/>
          <w:marTop w:val="0"/>
          <w:marBottom w:val="0"/>
          <w:divBdr>
            <w:top w:val="none" w:sz="0" w:space="0" w:color="auto"/>
            <w:left w:val="none" w:sz="0" w:space="0" w:color="auto"/>
            <w:bottom w:val="none" w:sz="0" w:space="0" w:color="auto"/>
            <w:right w:val="none" w:sz="0" w:space="0" w:color="auto"/>
          </w:divBdr>
          <w:divsChild>
            <w:div w:id="75721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0083">
      <w:marLeft w:val="0"/>
      <w:marRight w:val="0"/>
      <w:marTop w:val="0"/>
      <w:marBottom w:val="0"/>
      <w:divBdr>
        <w:top w:val="none" w:sz="0" w:space="0" w:color="auto"/>
        <w:left w:val="none" w:sz="0" w:space="0" w:color="auto"/>
        <w:bottom w:val="none" w:sz="0" w:space="0" w:color="auto"/>
        <w:right w:val="none" w:sz="0" w:space="0" w:color="auto"/>
      </w:divBdr>
    </w:div>
    <w:div w:id="160852326">
      <w:bodyDiv w:val="1"/>
      <w:marLeft w:val="0"/>
      <w:marRight w:val="0"/>
      <w:marTop w:val="0"/>
      <w:marBottom w:val="0"/>
      <w:divBdr>
        <w:top w:val="none" w:sz="0" w:space="0" w:color="auto"/>
        <w:left w:val="none" w:sz="0" w:space="0" w:color="auto"/>
        <w:bottom w:val="none" w:sz="0" w:space="0" w:color="auto"/>
        <w:right w:val="none" w:sz="0" w:space="0" w:color="auto"/>
      </w:divBdr>
    </w:div>
    <w:div w:id="169226704">
      <w:bodyDiv w:val="1"/>
      <w:marLeft w:val="0"/>
      <w:marRight w:val="0"/>
      <w:marTop w:val="0"/>
      <w:marBottom w:val="0"/>
      <w:divBdr>
        <w:top w:val="none" w:sz="0" w:space="0" w:color="auto"/>
        <w:left w:val="none" w:sz="0" w:space="0" w:color="auto"/>
        <w:bottom w:val="none" w:sz="0" w:space="0" w:color="auto"/>
        <w:right w:val="none" w:sz="0" w:space="0" w:color="auto"/>
      </w:divBdr>
    </w:div>
    <w:div w:id="171654382">
      <w:bodyDiv w:val="1"/>
      <w:marLeft w:val="0"/>
      <w:marRight w:val="0"/>
      <w:marTop w:val="0"/>
      <w:marBottom w:val="0"/>
      <w:divBdr>
        <w:top w:val="none" w:sz="0" w:space="0" w:color="auto"/>
        <w:left w:val="none" w:sz="0" w:space="0" w:color="auto"/>
        <w:bottom w:val="none" w:sz="0" w:space="0" w:color="auto"/>
        <w:right w:val="none" w:sz="0" w:space="0" w:color="auto"/>
      </w:divBdr>
    </w:div>
    <w:div w:id="178810742">
      <w:bodyDiv w:val="1"/>
      <w:marLeft w:val="0"/>
      <w:marRight w:val="0"/>
      <w:marTop w:val="0"/>
      <w:marBottom w:val="0"/>
      <w:divBdr>
        <w:top w:val="none" w:sz="0" w:space="0" w:color="auto"/>
        <w:left w:val="none" w:sz="0" w:space="0" w:color="auto"/>
        <w:bottom w:val="none" w:sz="0" w:space="0" w:color="auto"/>
        <w:right w:val="none" w:sz="0" w:space="0" w:color="auto"/>
      </w:divBdr>
      <w:divsChild>
        <w:div w:id="1951542209">
          <w:marLeft w:val="0"/>
          <w:marRight w:val="0"/>
          <w:marTop w:val="0"/>
          <w:marBottom w:val="0"/>
          <w:divBdr>
            <w:top w:val="none" w:sz="0" w:space="0" w:color="auto"/>
            <w:left w:val="none" w:sz="0" w:space="0" w:color="auto"/>
            <w:bottom w:val="none" w:sz="0" w:space="0" w:color="auto"/>
            <w:right w:val="none" w:sz="0" w:space="0" w:color="auto"/>
          </w:divBdr>
          <w:divsChild>
            <w:div w:id="6962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20701">
      <w:bodyDiv w:val="1"/>
      <w:marLeft w:val="0"/>
      <w:marRight w:val="0"/>
      <w:marTop w:val="0"/>
      <w:marBottom w:val="0"/>
      <w:divBdr>
        <w:top w:val="none" w:sz="0" w:space="0" w:color="auto"/>
        <w:left w:val="none" w:sz="0" w:space="0" w:color="auto"/>
        <w:bottom w:val="none" w:sz="0" w:space="0" w:color="auto"/>
        <w:right w:val="none" w:sz="0" w:space="0" w:color="auto"/>
      </w:divBdr>
    </w:div>
    <w:div w:id="189688636">
      <w:bodyDiv w:val="1"/>
      <w:marLeft w:val="0"/>
      <w:marRight w:val="0"/>
      <w:marTop w:val="0"/>
      <w:marBottom w:val="0"/>
      <w:divBdr>
        <w:top w:val="none" w:sz="0" w:space="0" w:color="auto"/>
        <w:left w:val="none" w:sz="0" w:space="0" w:color="auto"/>
        <w:bottom w:val="none" w:sz="0" w:space="0" w:color="auto"/>
        <w:right w:val="none" w:sz="0" w:space="0" w:color="auto"/>
      </w:divBdr>
    </w:div>
    <w:div w:id="194195714">
      <w:bodyDiv w:val="1"/>
      <w:marLeft w:val="0"/>
      <w:marRight w:val="0"/>
      <w:marTop w:val="0"/>
      <w:marBottom w:val="0"/>
      <w:divBdr>
        <w:top w:val="none" w:sz="0" w:space="0" w:color="auto"/>
        <w:left w:val="none" w:sz="0" w:space="0" w:color="auto"/>
        <w:bottom w:val="none" w:sz="0" w:space="0" w:color="auto"/>
        <w:right w:val="none" w:sz="0" w:space="0" w:color="auto"/>
      </w:divBdr>
    </w:div>
    <w:div w:id="194344745">
      <w:bodyDiv w:val="1"/>
      <w:marLeft w:val="0"/>
      <w:marRight w:val="0"/>
      <w:marTop w:val="0"/>
      <w:marBottom w:val="0"/>
      <w:divBdr>
        <w:top w:val="none" w:sz="0" w:space="0" w:color="auto"/>
        <w:left w:val="none" w:sz="0" w:space="0" w:color="auto"/>
        <w:bottom w:val="none" w:sz="0" w:space="0" w:color="auto"/>
        <w:right w:val="none" w:sz="0" w:space="0" w:color="auto"/>
      </w:divBdr>
      <w:divsChild>
        <w:div w:id="286400051">
          <w:marLeft w:val="0"/>
          <w:marRight w:val="0"/>
          <w:marTop w:val="0"/>
          <w:marBottom w:val="0"/>
          <w:divBdr>
            <w:top w:val="none" w:sz="0" w:space="0" w:color="auto"/>
            <w:left w:val="none" w:sz="0" w:space="0" w:color="auto"/>
            <w:bottom w:val="none" w:sz="0" w:space="0" w:color="auto"/>
            <w:right w:val="none" w:sz="0" w:space="0" w:color="auto"/>
          </w:divBdr>
        </w:div>
      </w:divsChild>
    </w:div>
    <w:div w:id="196358784">
      <w:bodyDiv w:val="1"/>
      <w:marLeft w:val="0"/>
      <w:marRight w:val="0"/>
      <w:marTop w:val="0"/>
      <w:marBottom w:val="0"/>
      <w:divBdr>
        <w:top w:val="none" w:sz="0" w:space="0" w:color="auto"/>
        <w:left w:val="none" w:sz="0" w:space="0" w:color="auto"/>
        <w:bottom w:val="none" w:sz="0" w:space="0" w:color="auto"/>
        <w:right w:val="none" w:sz="0" w:space="0" w:color="auto"/>
      </w:divBdr>
    </w:div>
    <w:div w:id="198860878">
      <w:bodyDiv w:val="1"/>
      <w:marLeft w:val="0"/>
      <w:marRight w:val="0"/>
      <w:marTop w:val="0"/>
      <w:marBottom w:val="0"/>
      <w:divBdr>
        <w:top w:val="none" w:sz="0" w:space="0" w:color="auto"/>
        <w:left w:val="none" w:sz="0" w:space="0" w:color="auto"/>
        <w:bottom w:val="none" w:sz="0" w:space="0" w:color="auto"/>
        <w:right w:val="none" w:sz="0" w:space="0" w:color="auto"/>
      </w:divBdr>
    </w:div>
    <w:div w:id="201527158">
      <w:bodyDiv w:val="1"/>
      <w:marLeft w:val="0"/>
      <w:marRight w:val="0"/>
      <w:marTop w:val="0"/>
      <w:marBottom w:val="0"/>
      <w:divBdr>
        <w:top w:val="none" w:sz="0" w:space="0" w:color="auto"/>
        <w:left w:val="none" w:sz="0" w:space="0" w:color="auto"/>
        <w:bottom w:val="none" w:sz="0" w:space="0" w:color="auto"/>
        <w:right w:val="none" w:sz="0" w:space="0" w:color="auto"/>
      </w:divBdr>
    </w:div>
    <w:div w:id="204176324">
      <w:bodyDiv w:val="1"/>
      <w:marLeft w:val="0"/>
      <w:marRight w:val="0"/>
      <w:marTop w:val="0"/>
      <w:marBottom w:val="0"/>
      <w:divBdr>
        <w:top w:val="none" w:sz="0" w:space="0" w:color="auto"/>
        <w:left w:val="none" w:sz="0" w:space="0" w:color="auto"/>
        <w:bottom w:val="none" w:sz="0" w:space="0" w:color="auto"/>
        <w:right w:val="none" w:sz="0" w:space="0" w:color="auto"/>
      </w:divBdr>
      <w:divsChild>
        <w:div w:id="1234504675">
          <w:marLeft w:val="0"/>
          <w:marRight w:val="0"/>
          <w:marTop w:val="0"/>
          <w:marBottom w:val="0"/>
          <w:divBdr>
            <w:top w:val="none" w:sz="0" w:space="0" w:color="auto"/>
            <w:left w:val="none" w:sz="0" w:space="0" w:color="auto"/>
            <w:bottom w:val="none" w:sz="0" w:space="0" w:color="auto"/>
            <w:right w:val="none" w:sz="0" w:space="0" w:color="auto"/>
          </w:divBdr>
          <w:divsChild>
            <w:div w:id="973027807">
              <w:marLeft w:val="0"/>
              <w:marRight w:val="0"/>
              <w:marTop w:val="0"/>
              <w:marBottom w:val="0"/>
              <w:divBdr>
                <w:top w:val="none" w:sz="0" w:space="0" w:color="auto"/>
                <w:left w:val="none" w:sz="0" w:space="0" w:color="auto"/>
                <w:bottom w:val="none" w:sz="0" w:space="0" w:color="auto"/>
                <w:right w:val="none" w:sz="0" w:space="0" w:color="auto"/>
              </w:divBdr>
              <w:divsChild>
                <w:div w:id="1074008093">
                  <w:marLeft w:val="0"/>
                  <w:marRight w:val="0"/>
                  <w:marTop w:val="0"/>
                  <w:marBottom w:val="0"/>
                  <w:divBdr>
                    <w:top w:val="none" w:sz="0" w:space="0" w:color="auto"/>
                    <w:left w:val="none" w:sz="0" w:space="0" w:color="auto"/>
                    <w:bottom w:val="none" w:sz="0" w:space="0" w:color="auto"/>
                    <w:right w:val="none" w:sz="0" w:space="0" w:color="auto"/>
                  </w:divBdr>
                  <w:divsChild>
                    <w:div w:id="629481399">
                      <w:marLeft w:val="0"/>
                      <w:marRight w:val="0"/>
                      <w:marTop w:val="0"/>
                      <w:marBottom w:val="0"/>
                      <w:divBdr>
                        <w:top w:val="none" w:sz="0" w:space="0" w:color="auto"/>
                        <w:left w:val="none" w:sz="0" w:space="0" w:color="auto"/>
                        <w:bottom w:val="none" w:sz="0" w:space="0" w:color="auto"/>
                        <w:right w:val="none" w:sz="0" w:space="0" w:color="auto"/>
                      </w:divBdr>
                      <w:divsChild>
                        <w:div w:id="1653559219">
                          <w:marLeft w:val="0"/>
                          <w:marRight w:val="0"/>
                          <w:marTop w:val="0"/>
                          <w:marBottom w:val="0"/>
                          <w:divBdr>
                            <w:top w:val="none" w:sz="0" w:space="0" w:color="auto"/>
                            <w:left w:val="none" w:sz="0" w:space="0" w:color="auto"/>
                            <w:bottom w:val="none" w:sz="0" w:space="0" w:color="auto"/>
                            <w:right w:val="none" w:sz="0" w:space="0" w:color="auto"/>
                          </w:divBdr>
                          <w:divsChild>
                            <w:div w:id="153604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92861">
      <w:bodyDiv w:val="1"/>
      <w:marLeft w:val="0"/>
      <w:marRight w:val="0"/>
      <w:marTop w:val="0"/>
      <w:marBottom w:val="0"/>
      <w:divBdr>
        <w:top w:val="none" w:sz="0" w:space="0" w:color="auto"/>
        <w:left w:val="none" w:sz="0" w:space="0" w:color="auto"/>
        <w:bottom w:val="none" w:sz="0" w:space="0" w:color="auto"/>
        <w:right w:val="none" w:sz="0" w:space="0" w:color="auto"/>
      </w:divBdr>
    </w:div>
    <w:div w:id="207567151">
      <w:bodyDiv w:val="1"/>
      <w:marLeft w:val="0"/>
      <w:marRight w:val="0"/>
      <w:marTop w:val="0"/>
      <w:marBottom w:val="0"/>
      <w:divBdr>
        <w:top w:val="none" w:sz="0" w:space="0" w:color="auto"/>
        <w:left w:val="none" w:sz="0" w:space="0" w:color="auto"/>
        <w:bottom w:val="none" w:sz="0" w:space="0" w:color="auto"/>
        <w:right w:val="none" w:sz="0" w:space="0" w:color="auto"/>
      </w:divBdr>
    </w:div>
    <w:div w:id="209071838">
      <w:bodyDiv w:val="1"/>
      <w:marLeft w:val="0"/>
      <w:marRight w:val="0"/>
      <w:marTop w:val="0"/>
      <w:marBottom w:val="0"/>
      <w:divBdr>
        <w:top w:val="none" w:sz="0" w:space="0" w:color="auto"/>
        <w:left w:val="none" w:sz="0" w:space="0" w:color="auto"/>
        <w:bottom w:val="none" w:sz="0" w:space="0" w:color="auto"/>
        <w:right w:val="none" w:sz="0" w:space="0" w:color="auto"/>
      </w:divBdr>
      <w:divsChild>
        <w:div w:id="227108388">
          <w:marLeft w:val="0"/>
          <w:marRight w:val="0"/>
          <w:marTop w:val="0"/>
          <w:marBottom w:val="0"/>
          <w:divBdr>
            <w:top w:val="none" w:sz="0" w:space="0" w:color="auto"/>
            <w:left w:val="none" w:sz="0" w:space="0" w:color="auto"/>
            <w:bottom w:val="none" w:sz="0" w:space="0" w:color="auto"/>
            <w:right w:val="none" w:sz="0" w:space="0" w:color="auto"/>
          </w:divBdr>
        </w:div>
      </w:divsChild>
    </w:div>
    <w:div w:id="214853548">
      <w:bodyDiv w:val="1"/>
      <w:marLeft w:val="0"/>
      <w:marRight w:val="0"/>
      <w:marTop w:val="0"/>
      <w:marBottom w:val="0"/>
      <w:divBdr>
        <w:top w:val="none" w:sz="0" w:space="0" w:color="auto"/>
        <w:left w:val="none" w:sz="0" w:space="0" w:color="auto"/>
        <w:bottom w:val="none" w:sz="0" w:space="0" w:color="auto"/>
        <w:right w:val="none" w:sz="0" w:space="0" w:color="auto"/>
      </w:divBdr>
    </w:div>
    <w:div w:id="215245657">
      <w:bodyDiv w:val="1"/>
      <w:marLeft w:val="0"/>
      <w:marRight w:val="0"/>
      <w:marTop w:val="0"/>
      <w:marBottom w:val="0"/>
      <w:divBdr>
        <w:top w:val="none" w:sz="0" w:space="0" w:color="auto"/>
        <w:left w:val="none" w:sz="0" w:space="0" w:color="auto"/>
        <w:bottom w:val="none" w:sz="0" w:space="0" w:color="auto"/>
        <w:right w:val="none" w:sz="0" w:space="0" w:color="auto"/>
      </w:divBdr>
      <w:divsChild>
        <w:div w:id="1241478513">
          <w:marLeft w:val="0"/>
          <w:marRight w:val="0"/>
          <w:marTop w:val="0"/>
          <w:marBottom w:val="0"/>
          <w:divBdr>
            <w:top w:val="none" w:sz="0" w:space="0" w:color="auto"/>
            <w:left w:val="none" w:sz="0" w:space="0" w:color="auto"/>
            <w:bottom w:val="none" w:sz="0" w:space="0" w:color="auto"/>
            <w:right w:val="none" w:sz="0" w:space="0" w:color="auto"/>
          </w:divBdr>
          <w:divsChild>
            <w:div w:id="1121462580">
              <w:marLeft w:val="-225"/>
              <w:marRight w:val="-225"/>
              <w:marTop w:val="0"/>
              <w:marBottom w:val="0"/>
              <w:divBdr>
                <w:top w:val="none" w:sz="0" w:space="0" w:color="auto"/>
                <w:left w:val="none" w:sz="0" w:space="0" w:color="auto"/>
                <w:bottom w:val="none" w:sz="0" w:space="0" w:color="auto"/>
                <w:right w:val="none" w:sz="0" w:space="0" w:color="auto"/>
              </w:divBdr>
              <w:divsChild>
                <w:div w:id="1260287316">
                  <w:marLeft w:val="0"/>
                  <w:marRight w:val="0"/>
                  <w:marTop w:val="0"/>
                  <w:marBottom w:val="0"/>
                  <w:divBdr>
                    <w:top w:val="none" w:sz="0" w:space="0" w:color="auto"/>
                    <w:left w:val="none" w:sz="0" w:space="0" w:color="auto"/>
                    <w:bottom w:val="none" w:sz="0" w:space="0" w:color="auto"/>
                    <w:right w:val="none" w:sz="0" w:space="0" w:color="auto"/>
                  </w:divBdr>
                  <w:divsChild>
                    <w:div w:id="443233249">
                      <w:marLeft w:val="-225"/>
                      <w:marRight w:val="-225"/>
                      <w:marTop w:val="0"/>
                      <w:marBottom w:val="0"/>
                      <w:divBdr>
                        <w:top w:val="none" w:sz="0" w:space="0" w:color="auto"/>
                        <w:left w:val="none" w:sz="0" w:space="0" w:color="auto"/>
                        <w:bottom w:val="none" w:sz="0" w:space="0" w:color="auto"/>
                        <w:right w:val="none" w:sz="0" w:space="0" w:color="auto"/>
                      </w:divBdr>
                      <w:divsChild>
                        <w:div w:id="194137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5969243">
      <w:bodyDiv w:val="1"/>
      <w:marLeft w:val="0"/>
      <w:marRight w:val="0"/>
      <w:marTop w:val="0"/>
      <w:marBottom w:val="0"/>
      <w:divBdr>
        <w:top w:val="none" w:sz="0" w:space="0" w:color="auto"/>
        <w:left w:val="none" w:sz="0" w:space="0" w:color="auto"/>
        <w:bottom w:val="none" w:sz="0" w:space="0" w:color="auto"/>
        <w:right w:val="none" w:sz="0" w:space="0" w:color="auto"/>
      </w:divBdr>
    </w:div>
    <w:div w:id="222907697">
      <w:bodyDiv w:val="1"/>
      <w:marLeft w:val="0"/>
      <w:marRight w:val="0"/>
      <w:marTop w:val="0"/>
      <w:marBottom w:val="0"/>
      <w:divBdr>
        <w:top w:val="none" w:sz="0" w:space="0" w:color="auto"/>
        <w:left w:val="none" w:sz="0" w:space="0" w:color="auto"/>
        <w:bottom w:val="none" w:sz="0" w:space="0" w:color="auto"/>
        <w:right w:val="none" w:sz="0" w:space="0" w:color="auto"/>
      </w:divBdr>
    </w:div>
    <w:div w:id="235096597">
      <w:bodyDiv w:val="1"/>
      <w:marLeft w:val="0"/>
      <w:marRight w:val="0"/>
      <w:marTop w:val="0"/>
      <w:marBottom w:val="0"/>
      <w:divBdr>
        <w:top w:val="none" w:sz="0" w:space="0" w:color="auto"/>
        <w:left w:val="none" w:sz="0" w:space="0" w:color="auto"/>
        <w:bottom w:val="none" w:sz="0" w:space="0" w:color="auto"/>
        <w:right w:val="none" w:sz="0" w:space="0" w:color="auto"/>
      </w:divBdr>
      <w:divsChild>
        <w:div w:id="1283808538">
          <w:marLeft w:val="0"/>
          <w:marRight w:val="0"/>
          <w:marTop w:val="0"/>
          <w:marBottom w:val="900"/>
          <w:divBdr>
            <w:top w:val="none" w:sz="0" w:space="0" w:color="auto"/>
            <w:left w:val="none" w:sz="0" w:space="0" w:color="auto"/>
            <w:bottom w:val="none" w:sz="0" w:space="0" w:color="auto"/>
            <w:right w:val="none" w:sz="0" w:space="0" w:color="auto"/>
          </w:divBdr>
        </w:div>
        <w:div w:id="1115834390">
          <w:marLeft w:val="0"/>
          <w:marRight w:val="0"/>
          <w:marTop w:val="0"/>
          <w:marBottom w:val="900"/>
          <w:divBdr>
            <w:top w:val="none" w:sz="0" w:space="0" w:color="auto"/>
            <w:left w:val="none" w:sz="0" w:space="0" w:color="auto"/>
            <w:bottom w:val="none" w:sz="0" w:space="0" w:color="auto"/>
            <w:right w:val="none" w:sz="0" w:space="0" w:color="auto"/>
          </w:divBdr>
          <w:divsChild>
            <w:div w:id="1825315900">
              <w:marLeft w:val="0"/>
              <w:marRight w:val="0"/>
              <w:marTop w:val="0"/>
              <w:marBottom w:val="0"/>
              <w:divBdr>
                <w:top w:val="none" w:sz="0" w:space="0" w:color="auto"/>
                <w:left w:val="none" w:sz="0" w:space="0" w:color="auto"/>
                <w:bottom w:val="none" w:sz="0" w:space="0" w:color="auto"/>
                <w:right w:val="none" w:sz="0" w:space="0" w:color="auto"/>
              </w:divBdr>
              <w:divsChild>
                <w:div w:id="143039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6339">
      <w:bodyDiv w:val="1"/>
      <w:marLeft w:val="0"/>
      <w:marRight w:val="0"/>
      <w:marTop w:val="0"/>
      <w:marBottom w:val="0"/>
      <w:divBdr>
        <w:top w:val="none" w:sz="0" w:space="0" w:color="auto"/>
        <w:left w:val="none" w:sz="0" w:space="0" w:color="auto"/>
        <w:bottom w:val="none" w:sz="0" w:space="0" w:color="auto"/>
        <w:right w:val="none" w:sz="0" w:space="0" w:color="auto"/>
      </w:divBdr>
      <w:divsChild>
        <w:div w:id="81491141">
          <w:marLeft w:val="0"/>
          <w:marRight w:val="0"/>
          <w:marTop w:val="0"/>
          <w:marBottom w:val="0"/>
          <w:divBdr>
            <w:top w:val="none" w:sz="0" w:space="0" w:color="auto"/>
            <w:left w:val="none" w:sz="0" w:space="0" w:color="auto"/>
            <w:bottom w:val="none" w:sz="0" w:space="0" w:color="auto"/>
            <w:right w:val="none" w:sz="0" w:space="0" w:color="auto"/>
          </w:divBdr>
          <w:divsChild>
            <w:div w:id="74522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535526">
      <w:bodyDiv w:val="1"/>
      <w:marLeft w:val="0"/>
      <w:marRight w:val="0"/>
      <w:marTop w:val="0"/>
      <w:marBottom w:val="0"/>
      <w:divBdr>
        <w:top w:val="none" w:sz="0" w:space="0" w:color="auto"/>
        <w:left w:val="none" w:sz="0" w:space="0" w:color="auto"/>
        <w:bottom w:val="none" w:sz="0" w:space="0" w:color="auto"/>
        <w:right w:val="none" w:sz="0" w:space="0" w:color="auto"/>
      </w:divBdr>
    </w:div>
    <w:div w:id="246813099">
      <w:bodyDiv w:val="1"/>
      <w:marLeft w:val="0"/>
      <w:marRight w:val="0"/>
      <w:marTop w:val="0"/>
      <w:marBottom w:val="0"/>
      <w:divBdr>
        <w:top w:val="none" w:sz="0" w:space="0" w:color="auto"/>
        <w:left w:val="none" w:sz="0" w:space="0" w:color="auto"/>
        <w:bottom w:val="none" w:sz="0" w:space="0" w:color="auto"/>
        <w:right w:val="none" w:sz="0" w:space="0" w:color="auto"/>
      </w:divBdr>
    </w:div>
    <w:div w:id="251469909">
      <w:bodyDiv w:val="1"/>
      <w:marLeft w:val="0"/>
      <w:marRight w:val="0"/>
      <w:marTop w:val="0"/>
      <w:marBottom w:val="0"/>
      <w:divBdr>
        <w:top w:val="none" w:sz="0" w:space="0" w:color="auto"/>
        <w:left w:val="none" w:sz="0" w:space="0" w:color="auto"/>
        <w:bottom w:val="none" w:sz="0" w:space="0" w:color="auto"/>
        <w:right w:val="none" w:sz="0" w:space="0" w:color="auto"/>
      </w:divBdr>
    </w:div>
    <w:div w:id="255747702">
      <w:bodyDiv w:val="1"/>
      <w:marLeft w:val="0"/>
      <w:marRight w:val="0"/>
      <w:marTop w:val="0"/>
      <w:marBottom w:val="0"/>
      <w:divBdr>
        <w:top w:val="none" w:sz="0" w:space="0" w:color="auto"/>
        <w:left w:val="none" w:sz="0" w:space="0" w:color="auto"/>
        <w:bottom w:val="none" w:sz="0" w:space="0" w:color="auto"/>
        <w:right w:val="none" w:sz="0" w:space="0" w:color="auto"/>
      </w:divBdr>
    </w:div>
    <w:div w:id="262306305">
      <w:bodyDiv w:val="1"/>
      <w:marLeft w:val="0"/>
      <w:marRight w:val="0"/>
      <w:marTop w:val="0"/>
      <w:marBottom w:val="0"/>
      <w:divBdr>
        <w:top w:val="none" w:sz="0" w:space="0" w:color="auto"/>
        <w:left w:val="none" w:sz="0" w:space="0" w:color="auto"/>
        <w:bottom w:val="none" w:sz="0" w:space="0" w:color="auto"/>
        <w:right w:val="none" w:sz="0" w:space="0" w:color="auto"/>
      </w:divBdr>
    </w:div>
    <w:div w:id="264390631">
      <w:bodyDiv w:val="1"/>
      <w:marLeft w:val="0"/>
      <w:marRight w:val="0"/>
      <w:marTop w:val="0"/>
      <w:marBottom w:val="0"/>
      <w:divBdr>
        <w:top w:val="none" w:sz="0" w:space="0" w:color="auto"/>
        <w:left w:val="none" w:sz="0" w:space="0" w:color="auto"/>
        <w:bottom w:val="none" w:sz="0" w:space="0" w:color="auto"/>
        <w:right w:val="none" w:sz="0" w:space="0" w:color="auto"/>
      </w:divBdr>
      <w:divsChild>
        <w:div w:id="2059163419">
          <w:marLeft w:val="0"/>
          <w:marRight w:val="0"/>
          <w:marTop w:val="0"/>
          <w:marBottom w:val="0"/>
          <w:divBdr>
            <w:top w:val="none" w:sz="0" w:space="0" w:color="auto"/>
            <w:left w:val="none" w:sz="0" w:space="0" w:color="auto"/>
            <w:bottom w:val="none" w:sz="0" w:space="0" w:color="auto"/>
            <w:right w:val="none" w:sz="0" w:space="0" w:color="auto"/>
          </w:divBdr>
          <w:divsChild>
            <w:div w:id="89404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386721">
      <w:bodyDiv w:val="1"/>
      <w:marLeft w:val="0"/>
      <w:marRight w:val="0"/>
      <w:marTop w:val="0"/>
      <w:marBottom w:val="0"/>
      <w:divBdr>
        <w:top w:val="none" w:sz="0" w:space="0" w:color="auto"/>
        <w:left w:val="none" w:sz="0" w:space="0" w:color="auto"/>
        <w:bottom w:val="none" w:sz="0" w:space="0" w:color="auto"/>
        <w:right w:val="none" w:sz="0" w:space="0" w:color="auto"/>
      </w:divBdr>
    </w:div>
    <w:div w:id="276454741">
      <w:bodyDiv w:val="1"/>
      <w:marLeft w:val="0"/>
      <w:marRight w:val="0"/>
      <w:marTop w:val="0"/>
      <w:marBottom w:val="0"/>
      <w:divBdr>
        <w:top w:val="none" w:sz="0" w:space="0" w:color="auto"/>
        <w:left w:val="none" w:sz="0" w:space="0" w:color="auto"/>
        <w:bottom w:val="none" w:sz="0" w:space="0" w:color="auto"/>
        <w:right w:val="none" w:sz="0" w:space="0" w:color="auto"/>
      </w:divBdr>
    </w:div>
    <w:div w:id="280192418">
      <w:bodyDiv w:val="1"/>
      <w:marLeft w:val="0"/>
      <w:marRight w:val="0"/>
      <w:marTop w:val="0"/>
      <w:marBottom w:val="0"/>
      <w:divBdr>
        <w:top w:val="none" w:sz="0" w:space="0" w:color="auto"/>
        <w:left w:val="none" w:sz="0" w:space="0" w:color="auto"/>
        <w:bottom w:val="none" w:sz="0" w:space="0" w:color="auto"/>
        <w:right w:val="none" w:sz="0" w:space="0" w:color="auto"/>
      </w:divBdr>
    </w:div>
    <w:div w:id="281376473">
      <w:bodyDiv w:val="1"/>
      <w:marLeft w:val="0"/>
      <w:marRight w:val="0"/>
      <w:marTop w:val="0"/>
      <w:marBottom w:val="0"/>
      <w:divBdr>
        <w:top w:val="none" w:sz="0" w:space="0" w:color="auto"/>
        <w:left w:val="none" w:sz="0" w:space="0" w:color="auto"/>
        <w:bottom w:val="none" w:sz="0" w:space="0" w:color="auto"/>
        <w:right w:val="none" w:sz="0" w:space="0" w:color="auto"/>
      </w:divBdr>
    </w:div>
    <w:div w:id="283660411">
      <w:bodyDiv w:val="1"/>
      <w:marLeft w:val="0"/>
      <w:marRight w:val="0"/>
      <w:marTop w:val="0"/>
      <w:marBottom w:val="0"/>
      <w:divBdr>
        <w:top w:val="none" w:sz="0" w:space="0" w:color="auto"/>
        <w:left w:val="none" w:sz="0" w:space="0" w:color="auto"/>
        <w:bottom w:val="none" w:sz="0" w:space="0" w:color="auto"/>
        <w:right w:val="none" w:sz="0" w:space="0" w:color="auto"/>
      </w:divBdr>
    </w:div>
    <w:div w:id="283973662">
      <w:bodyDiv w:val="1"/>
      <w:marLeft w:val="0"/>
      <w:marRight w:val="0"/>
      <w:marTop w:val="0"/>
      <w:marBottom w:val="0"/>
      <w:divBdr>
        <w:top w:val="none" w:sz="0" w:space="0" w:color="auto"/>
        <w:left w:val="none" w:sz="0" w:space="0" w:color="auto"/>
        <w:bottom w:val="none" w:sz="0" w:space="0" w:color="auto"/>
        <w:right w:val="none" w:sz="0" w:space="0" w:color="auto"/>
      </w:divBdr>
    </w:div>
    <w:div w:id="285746436">
      <w:bodyDiv w:val="1"/>
      <w:marLeft w:val="0"/>
      <w:marRight w:val="0"/>
      <w:marTop w:val="0"/>
      <w:marBottom w:val="0"/>
      <w:divBdr>
        <w:top w:val="none" w:sz="0" w:space="0" w:color="auto"/>
        <w:left w:val="none" w:sz="0" w:space="0" w:color="auto"/>
        <w:bottom w:val="none" w:sz="0" w:space="0" w:color="auto"/>
        <w:right w:val="none" w:sz="0" w:space="0" w:color="auto"/>
      </w:divBdr>
      <w:divsChild>
        <w:div w:id="1750424701">
          <w:marLeft w:val="0"/>
          <w:marRight w:val="0"/>
          <w:marTop w:val="327"/>
          <w:marBottom w:val="200"/>
          <w:divBdr>
            <w:top w:val="none" w:sz="0" w:space="0" w:color="auto"/>
            <w:left w:val="none" w:sz="0" w:space="0" w:color="auto"/>
            <w:bottom w:val="none" w:sz="0" w:space="0" w:color="auto"/>
            <w:right w:val="none" w:sz="0" w:space="0" w:color="auto"/>
          </w:divBdr>
          <w:divsChild>
            <w:div w:id="132718800">
              <w:marLeft w:val="0"/>
              <w:marRight w:val="0"/>
              <w:marTop w:val="0"/>
              <w:marBottom w:val="0"/>
              <w:divBdr>
                <w:top w:val="none" w:sz="0" w:space="0" w:color="auto"/>
                <w:left w:val="none" w:sz="0" w:space="0" w:color="auto"/>
                <w:bottom w:val="none" w:sz="0" w:space="0" w:color="auto"/>
                <w:right w:val="none" w:sz="0" w:space="0" w:color="auto"/>
              </w:divBdr>
            </w:div>
          </w:divsChild>
        </w:div>
        <w:div w:id="1270242397">
          <w:marLeft w:val="0"/>
          <w:marRight w:val="0"/>
          <w:marTop w:val="0"/>
          <w:marBottom w:val="0"/>
          <w:divBdr>
            <w:top w:val="none" w:sz="0" w:space="0" w:color="auto"/>
            <w:left w:val="none" w:sz="0" w:space="0" w:color="auto"/>
            <w:bottom w:val="none" w:sz="0" w:space="0" w:color="auto"/>
            <w:right w:val="none" w:sz="0" w:space="0" w:color="auto"/>
          </w:divBdr>
        </w:div>
      </w:divsChild>
    </w:div>
    <w:div w:id="288707994">
      <w:bodyDiv w:val="1"/>
      <w:marLeft w:val="0"/>
      <w:marRight w:val="0"/>
      <w:marTop w:val="0"/>
      <w:marBottom w:val="0"/>
      <w:divBdr>
        <w:top w:val="none" w:sz="0" w:space="0" w:color="auto"/>
        <w:left w:val="none" w:sz="0" w:space="0" w:color="auto"/>
        <w:bottom w:val="none" w:sz="0" w:space="0" w:color="auto"/>
        <w:right w:val="none" w:sz="0" w:space="0" w:color="auto"/>
      </w:divBdr>
    </w:div>
    <w:div w:id="288754194">
      <w:bodyDiv w:val="1"/>
      <w:marLeft w:val="0"/>
      <w:marRight w:val="0"/>
      <w:marTop w:val="0"/>
      <w:marBottom w:val="0"/>
      <w:divBdr>
        <w:top w:val="none" w:sz="0" w:space="0" w:color="auto"/>
        <w:left w:val="none" w:sz="0" w:space="0" w:color="auto"/>
        <w:bottom w:val="none" w:sz="0" w:space="0" w:color="auto"/>
        <w:right w:val="none" w:sz="0" w:space="0" w:color="auto"/>
      </w:divBdr>
    </w:div>
    <w:div w:id="294675498">
      <w:bodyDiv w:val="1"/>
      <w:marLeft w:val="0"/>
      <w:marRight w:val="0"/>
      <w:marTop w:val="0"/>
      <w:marBottom w:val="0"/>
      <w:divBdr>
        <w:top w:val="none" w:sz="0" w:space="0" w:color="auto"/>
        <w:left w:val="none" w:sz="0" w:space="0" w:color="auto"/>
        <w:bottom w:val="none" w:sz="0" w:space="0" w:color="auto"/>
        <w:right w:val="none" w:sz="0" w:space="0" w:color="auto"/>
      </w:divBdr>
    </w:div>
    <w:div w:id="299655915">
      <w:bodyDiv w:val="1"/>
      <w:marLeft w:val="0"/>
      <w:marRight w:val="0"/>
      <w:marTop w:val="0"/>
      <w:marBottom w:val="0"/>
      <w:divBdr>
        <w:top w:val="none" w:sz="0" w:space="0" w:color="auto"/>
        <w:left w:val="none" w:sz="0" w:space="0" w:color="auto"/>
        <w:bottom w:val="none" w:sz="0" w:space="0" w:color="auto"/>
        <w:right w:val="none" w:sz="0" w:space="0" w:color="auto"/>
      </w:divBdr>
    </w:div>
    <w:div w:id="305159669">
      <w:bodyDiv w:val="1"/>
      <w:marLeft w:val="0"/>
      <w:marRight w:val="0"/>
      <w:marTop w:val="0"/>
      <w:marBottom w:val="0"/>
      <w:divBdr>
        <w:top w:val="none" w:sz="0" w:space="0" w:color="auto"/>
        <w:left w:val="none" w:sz="0" w:space="0" w:color="auto"/>
        <w:bottom w:val="none" w:sz="0" w:space="0" w:color="auto"/>
        <w:right w:val="none" w:sz="0" w:space="0" w:color="auto"/>
      </w:divBdr>
    </w:div>
    <w:div w:id="305208522">
      <w:bodyDiv w:val="1"/>
      <w:marLeft w:val="0"/>
      <w:marRight w:val="0"/>
      <w:marTop w:val="0"/>
      <w:marBottom w:val="0"/>
      <w:divBdr>
        <w:top w:val="none" w:sz="0" w:space="0" w:color="auto"/>
        <w:left w:val="none" w:sz="0" w:space="0" w:color="auto"/>
        <w:bottom w:val="none" w:sz="0" w:space="0" w:color="auto"/>
        <w:right w:val="none" w:sz="0" w:space="0" w:color="auto"/>
      </w:divBdr>
    </w:div>
    <w:div w:id="306783045">
      <w:bodyDiv w:val="1"/>
      <w:marLeft w:val="0"/>
      <w:marRight w:val="0"/>
      <w:marTop w:val="0"/>
      <w:marBottom w:val="0"/>
      <w:divBdr>
        <w:top w:val="none" w:sz="0" w:space="0" w:color="auto"/>
        <w:left w:val="none" w:sz="0" w:space="0" w:color="auto"/>
        <w:bottom w:val="none" w:sz="0" w:space="0" w:color="auto"/>
        <w:right w:val="none" w:sz="0" w:space="0" w:color="auto"/>
      </w:divBdr>
      <w:divsChild>
        <w:div w:id="35666368">
          <w:marLeft w:val="0"/>
          <w:marRight w:val="0"/>
          <w:marTop w:val="0"/>
          <w:marBottom w:val="0"/>
          <w:divBdr>
            <w:top w:val="none" w:sz="0" w:space="0" w:color="auto"/>
            <w:left w:val="none" w:sz="0" w:space="0" w:color="auto"/>
            <w:bottom w:val="none" w:sz="0" w:space="0" w:color="auto"/>
            <w:right w:val="none" w:sz="0" w:space="0" w:color="auto"/>
          </w:divBdr>
        </w:div>
      </w:divsChild>
    </w:div>
    <w:div w:id="307442205">
      <w:bodyDiv w:val="1"/>
      <w:marLeft w:val="0"/>
      <w:marRight w:val="0"/>
      <w:marTop w:val="0"/>
      <w:marBottom w:val="0"/>
      <w:divBdr>
        <w:top w:val="none" w:sz="0" w:space="0" w:color="auto"/>
        <w:left w:val="none" w:sz="0" w:space="0" w:color="auto"/>
        <w:bottom w:val="none" w:sz="0" w:space="0" w:color="auto"/>
        <w:right w:val="none" w:sz="0" w:space="0" w:color="auto"/>
      </w:divBdr>
    </w:div>
    <w:div w:id="310409354">
      <w:bodyDiv w:val="1"/>
      <w:marLeft w:val="0"/>
      <w:marRight w:val="0"/>
      <w:marTop w:val="0"/>
      <w:marBottom w:val="0"/>
      <w:divBdr>
        <w:top w:val="none" w:sz="0" w:space="0" w:color="auto"/>
        <w:left w:val="none" w:sz="0" w:space="0" w:color="auto"/>
        <w:bottom w:val="none" w:sz="0" w:space="0" w:color="auto"/>
        <w:right w:val="none" w:sz="0" w:space="0" w:color="auto"/>
      </w:divBdr>
    </w:div>
    <w:div w:id="324743575">
      <w:bodyDiv w:val="1"/>
      <w:marLeft w:val="0"/>
      <w:marRight w:val="0"/>
      <w:marTop w:val="0"/>
      <w:marBottom w:val="0"/>
      <w:divBdr>
        <w:top w:val="none" w:sz="0" w:space="0" w:color="auto"/>
        <w:left w:val="none" w:sz="0" w:space="0" w:color="auto"/>
        <w:bottom w:val="none" w:sz="0" w:space="0" w:color="auto"/>
        <w:right w:val="none" w:sz="0" w:space="0" w:color="auto"/>
      </w:divBdr>
    </w:div>
    <w:div w:id="328875004">
      <w:bodyDiv w:val="1"/>
      <w:marLeft w:val="0"/>
      <w:marRight w:val="0"/>
      <w:marTop w:val="0"/>
      <w:marBottom w:val="0"/>
      <w:divBdr>
        <w:top w:val="none" w:sz="0" w:space="0" w:color="auto"/>
        <w:left w:val="none" w:sz="0" w:space="0" w:color="auto"/>
        <w:bottom w:val="none" w:sz="0" w:space="0" w:color="auto"/>
        <w:right w:val="none" w:sz="0" w:space="0" w:color="auto"/>
      </w:divBdr>
    </w:div>
    <w:div w:id="336268070">
      <w:bodyDiv w:val="1"/>
      <w:marLeft w:val="0"/>
      <w:marRight w:val="0"/>
      <w:marTop w:val="0"/>
      <w:marBottom w:val="0"/>
      <w:divBdr>
        <w:top w:val="none" w:sz="0" w:space="0" w:color="auto"/>
        <w:left w:val="none" w:sz="0" w:space="0" w:color="auto"/>
        <w:bottom w:val="none" w:sz="0" w:space="0" w:color="auto"/>
        <w:right w:val="none" w:sz="0" w:space="0" w:color="auto"/>
      </w:divBdr>
    </w:div>
    <w:div w:id="338587400">
      <w:bodyDiv w:val="1"/>
      <w:marLeft w:val="0"/>
      <w:marRight w:val="0"/>
      <w:marTop w:val="0"/>
      <w:marBottom w:val="0"/>
      <w:divBdr>
        <w:top w:val="none" w:sz="0" w:space="0" w:color="auto"/>
        <w:left w:val="none" w:sz="0" w:space="0" w:color="auto"/>
        <w:bottom w:val="none" w:sz="0" w:space="0" w:color="auto"/>
        <w:right w:val="none" w:sz="0" w:space="0" w:color="auto"/>
      </w:divBdr>
    </w:div>
    <w:div w:id="343632353">
      <w:bodyDiv w:val="1"/>
      <w:marLeft w:val="0"/>
      <w:marRight w:val="0"/>
      <w:marTop w:val="0"/>
      <w:marBottom w:val="0"/>
      <w:divBdr>
        <w:top w:val="none" w:sz="0" w:space="0" w:color="auto"/>
        <w:left w:val="none" w:sz="0" w:space="0" w:color="auto"/>
        <w:bottom w:val="none" w:sz="0" w:space="0" w:color="auto"/>
        <w:right w:val="none" w:sz="0" w:space="0" w:color="auto"/>
      </w:divBdr>
    </w:div>
    <w:div w:id="343821273">
      <w:bodyDiv w:val="1"/>
      <w:marLeft w:val="0"/>
      <w:marRight w:val="0"/>
      <w:marTop w:val="0"/>
      <w:marBottom w:val="0"/>
      <w:divBdr>
        <w:top w:val="none" w:sz="0" w:space="0" w:color="auto"/>
        <w:left w:val="none" w:sz="0" w:space="0" w:color="auto"/>
        <w:bottom w:val="none" w:sz="0" w:space="0" w:color="auto"/>
        <w:right w:val="none" w:sz="0" w:space="0" w:color="auto"/>
      </w:divBdr>
      <w:divsChild>
        <w:div w:id="1968048366">
          <w:marLeft w:val="0"/>
          <w:marRight w:val="0"/>
          <w:marTop w:val="0"/>
          <w:marBottom w:val="0"/>
          <w:divBdr>
            <w:top w:val="none" w:sz="0" w:space="0" w:color="auto"/>
            <w:left w:val="none" w:sz="0" w:space="0" w:color="auto"/>
            <w:bottom w:val="none" w:sz="0" w:space="0" w:color="auto"/>
            <w:right w:val="none" w:sz="0" w:space="0" w:color="auto"/>
          </w:divBdr>
          <w:divsChild>
            <w:div w:id="876627472">
              <w:marLeft w:val="-225"/>
              <w:marRight w:val="-225"/>
              <w:marTop w:val="0"/>
              <w:marBottom w:val="0"/>
              <w:divBdr>
                <w:top w:val="none" w:sz="0" w:space="0" w:color="auto"/>
                <w:left w:val="none" w:sz="0" w:space="0" w:color="auto"/>
                <w:bottom w:val="none" w:sz="0" w:space="0" w:color="auto"/>
                <w:right w:val="none" w:sz="0" w:space="0" w:color="auto"/>
              </w:divBdr>
              <w:divsChild>
                <w:div w:id="905460491">
                  <w:marLeft w:val="0"/>
                  <w:marRight w:val="0"/>
                  <w:marTop w:val="0"/>
                  <w:marBottom w:val="0"/>
                  <w:divBdr>
                    <w:top w:val="none" w:sz="0" w:space="0" w:color="auto"/>
                    <w:left w:val="none" w:sz="0" w:space="0" w:color="auto"/>
                    <w:bottom w:val="none" w:sz="0" w:space="0" w:color="auto"/>
                    <w:right w:val="none" w:sz="0" w:space="0" w:color="auto"/>
                  </w:divBdr>
                  <w:divsChild>
                    <w:div w:id="1068769640">
                      <w:marLeft w:val="0"/>
                      <w:marRight w:val="0"/>
                      <w:marTop w:val="0"/>
                      <w:marBottom w:val="0"/>
                      <w:divBdr>
                        <w:top w:val="none" w:sz="0" w:space="0" w:color="auto"/>
                        <w:left w:val="none" w:sz="0" w:space="0" w:color="auto"/>
                        <w:bottom w:val="none" w:sz="0" w:space="0" w:color="auto"/>
                        <w:right w:val="none" w:sz="0" w:space="0" w:color="auto"/>
                      </w:divBdr>
                      <w:divsChild>
                        <w:div w:id="865824981">
                          <w:marLeft w:val="0"/>
                          <w:marRight w:val="0"/>
                          <w:marTop w:val="0"/>
                          <w:marBottom w:val="0"/>
                          <w:divBdr>
                            <w:top w:val="none" w:sz="0" w:space="0" w:color="auto"/>
                            <w:left w:val="none" w:sz="0" w:space="0" w:color="auto"/>
                            <w:bottom w:val="none" w:sz="0" w:space="0" w:color="auto"/>
                            <w:right w:val="none" w:sz="0" w:space="0" w:color="auto"/>
                          </w:divBdr>
                          <w:divsChild>
                            <w:div w:id="139277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5137629">
      <w:bodyDiv w:val="1"/>
      <w:marLeft w:val="0"/>
      <w:marRight w:val="0"/>
      <w:marTop w:val="0"/>
      <w:marBottom w:val="0"/>
      <w:divBdr>
        <w:top w:val="none" w:sz="0" w:space="0" w:color="auto"/>
        <w:left w:val="none" w:sz="0" w:space="0" w:color="auto"/>
        <w:bottom w:val="none" w:sz="0" w:space="0" w:color="auto"/>
        <w:right w:val="none" w:sz="0" w:space="0" w:color="auto"/>
      </w:divBdr>
      <w:divsChild>
        <w:div w:id="1864317279">
          <w:marLeft w:val="0"/>
          <w:marRight w:val="0"/>
          <w:marTop w:val="0"/>
          <w:marBottom w:val="0"/>
          <w:divBdr>
            <w:top w:val="none" w:sz="0" w:space="0" w:color="auto"/>
            <w:left w:val="none" w:sz="0" w:space="0" w:color="auto"/>
            <w:bottom w:val="none" w:sz="0" w:space="0" w:color="auto"/>
            <w:right w:val="none" w:sz="0" w:space="0" w:color="auto"/>
          </w:divBdr>
        </w:div>
      </w:divsChild>
    </w:div>
    <w:div w:id="345787510">
      <w:bodyDiv w:val="1"/>
      <w:marLeft w:val="0"/>
      <w:marRight w:val="0"/>
      <w:marTop w:val="0"/>
      <w:marBottom w:val="0"/>
      <w:divBdr>
        <w:top w:val="none" w:sz="0" w:space="0" w:color="auto"/>
        <w:left w:val="none" w:sz="0" w:space="0" w:color="auto"/>
        <w:bottom w:val="none" w:sz="0" w:space="0" w:color="auto"/>
        <w:right w:val="none" w:sz="0" w:space="0" w:color="auto"/>
      </w:divBdr>
      <w:divsChild>
        <w:div w:id="603416864">
          <w:marLeft w:val="0"/>
          <w:marRight w:val="0"/>
          <w:marTop w:val="0"/>
          <w:marBottom w:val="0"/>
          <w:divBdr>
            <w:top w:val="none" w:sz="0" w:space="0" w:color="auto"/>
            <w:left w:val="none" w:sz="0" w:space="0" w:color="auto"/>
            <w:bottom w:val="none" w:sz="0" w:space="0" w:color="auto"/>
            <w:right w:val="none" w:sz="0" w:space="0" w:color="auto"/>
          </w:divBdr>
        </w:div>
      </w:divsChild>
    </w:div>
    <w:div w:id="346909637">
      <w:bodyDiv w:val="1"/>
      <w:marLeft w:val="0"/>
      <w:marRight w:val="0"/>
      <w:marTop w:val="0"/>
      <w:marBottom w:val="0"/>
      <w:divBdr>
        <w:top w:val="none" w:sz="0" w:space="0" w:color="auto"/>
        <w:left w:val="none" w:sz="0" w:space="0" w:color="auto"/>
        <w:bottom w:val="none" w:sz="0" w:space="0" w:color="auto"/>
        <w:right w:val="none" w:sz="0" w:space="0" w:color="auto"/>
      </w:divBdr>
    </w:div>
    <w:div w:id="353112937">
      <w:bodyDiv w:val="1"/>
      <w:marLeft w:val="0"/>
      <w:marRight w:val="0"/>
      <w:marTop w:val="0"/>
      <w:marBottom w:val="0"/>
      <w:divBdr>
        <w:top w:val="none" w:sz="0" w:space="0" w:color="auto"/>
        <w:left w:val="none" w:sz="0" w:space="0" w:color="auto"/>
        <w:bottom w:val="none" w:sz="0" w:space="0" w:color="auto"/>
        <w:right w:val="none" w:sz="0" w:space="0" w:color="auto"/>
      </w:divBdr>
      <w:divsChild>
        <w:div w:id="1603882168">
          <w:marLeft w:val="0"/>
          <w:marRight w:val="0"/>
          <w:marTop w:val="0"/>
          <w:marBottom w:val="0"/>
          <w:divBdr>
            <w:top w:val="none" w:sz="0" w:space="0" w:color="auto"/>
            <w:left w:val="none" w:sz="0" w:space="0" w:color="auto"/>
            <w:bottom w:val="none" w:sz="0" w:space="0" w:color="auto"/>
            <w:right w:val="none" w:sz="0" w:space="0" w:color="auto"/>
          </w:divBdr>
          <w:divsChild>
            <w:div w:id="208923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440505">
      <w:bodyDiv w:val="1"/>
      <w:marLeft w:val="0"/>
      <w:marRight w:val="0"/>
      <w:marTop w:val="0"/>
      <w:marBottom w:val="0"/>
      <w:divBdr>
        <w:top w:val="none" w:sz="0" w:space="0" w:color="auto"/>
        <w:left w:val="none" w:sz="0" w:space="0" w:color="auto"/>
        <w:bottom w:val="none" w:sz="0" w:space="0" w:color="auto"/>
        <w:right w:val="none" w:sz="0" w:space="0" w:color="auto"/>
      </w:divBdr>
    </w:div>
    <w:div w:id="366105792">
      <w:bodyDiv w:val="1"/>
      <w:marLeft w:val="0"/>
      <w:marRight w:val="0"/>
      <w:marTop w:val="0"/>
      <w:marBottom w:val="0"/>
      <w:divBdr>
        <w:top w:val="none" w:sz="0" w:space="0" w:color="auto"/>
        <w:left w:val="none" w:sz="0" w:space="0" w:color="auto"/>
        <w:bottom w:val="none" w:sz="0" w:space="0" w:color="auto"/>
        <w:right w:val="none" w:sz="0" w:space="0" w:color="auto"/>
      </w:divBdr>
    </w:div>
    <w:div w:id="366485984">
      <w:bodyDiv w:val="1"/>
      <w:marLeft w:val="0"/>
      <w:marRight w:val="0"/>
      <w:marTop w:val="0"/>
      <w:marBottom w:val="0"/>
      <w:divBdr>
        <w:top w:val="none" w:sz="0" w:space="0" w:color="auto"/>
        <w:left w:val="none" w:sz="0" w:space="0" w:color="auto"/>
        <w:bottom w:val="none" w:sz="0" w:space="0" w:color="auto"/>
        <w:right w:val="none" w:sz="0" w:space="0" w:color="auto"/>
      </w:divBdr>
      <w:divsChild>
        <w:div w:id="1666326320">
          <w:marLeft w:val="0"/>
          <w:marRight w:val="0"/>
          <w:marTop w:val="0"/>
          <w:marBottom w:val="0"/>
          <w:divBdr>
            <w:top w:val="none" w:sz="0" w:space="0" w:color="auto"/>
            <w:left w:val="none" w:sz="0" w:space="0" w:color="auto"/>
            <w:bottom w:val="none" w:sz="0" w:space="0" w:color="auto"/>
            <w:right w:val="none" w:sz="0" w:space="0" w:color="auto"/>
          </w:divBdr>
        </w:div>
      </w:divsChild>
    </w:div>
    <w:div w:id="376470861">
      <w:bodyDiv w:val="1"/>
      <w:marLeft w:val="0"/>
      <w:marRight w:val="0"/>
      <w:marTop w:val="0"/>
      <w:marBottom w:val="0"/>
      <w:divBdr>
        <w:top w:val="none" w:sz="0" w:space="0" w:color="auto"/>
        <w:left w:val="none" w:sz="0" w:space="0" w:color="auto"/>
        <w:bottom w:val="none" w:sz="0" w:space="0" w:color="auto"/>
        <w:right w:val="none" w:sz="0" w:space="0" w:color="auto"/>
      </w:divBdr>
    </w:div>
    <w:div w:id="379279955">
      <w:bodyDiv w:val="1"/>
      <w:marLeft w:val="0"/>
      <w:marRight w:val="0"/>
      <w:marTop w:val="0"/>
      <w:marBottom w:val="0"/>
      <w:divBdr>
        <w:top w:val="none" w:sz="0" w:space="0" w:color="auto"/>
        <w:left w:val="none" w:sz="0" w:space="0" w:color="auto"/>
        <w:bottom w:val="none" w:sz="0" w:space="0" w:color="auto"/>
        <w:right w:val="none" w:sz="0" w:space="0" w:color="auto"/>
      </w:divBdr>
    </w:div>
    <w:div w:id="388774571">
      <w:bodyDiv w:val="1"/>
      <w:marLeft w:val="0"/>
      <w:marRight w:val="0"/>
      <w:marTop w:val="0"/>
      <w:marBottom w:val="0"/>
      <w:divBdr>
        <w:top w:val="none" w:sz="0" w:space="0" w:color="auto"/>
        <w:left w:val="none" w:sz="0" w:space="0" w:color="auto"/>
        <w:bottom w:val="none" w:sz="0" w:space="0" w:color="auto"/>
        <w:right w:val="none" w:sz="0" w:space="0" w:color="auto"/>
      </w:divBdr>
    </w:div>
    <w:div w:id="392584134">
      <w:bodyDiv w:val="1"/>
      <w:marLeft w:val="0"/>
      <w:marRight w:val="0"/>
      <w:marTop w:val="0"/>
      <w:marBottom w:val="0"/>
      <w:divBdr>
        <w:top w:val="none" w:sz="0" w:space="0" w:color="auto"/>
        <w:left w:val="none" w:sz="0" w:space="0" w:color="auto"/>
        <w:bottom w:val="none" w:sz="0" w:space="0" w:color="auto"/>
        <w:right w:val="none" w:sz="0" w:space="0" w:color="auto"/>
      </w:divBdr>
    </w:div>
    <w:div w:id="392969220">
      <w:bodyDiv w:val="1"/>
      <w:marLeft w:val="0"/>
      <w:marRight w:val="0"/>
      <w:marTop w:val="0"/>
      <w:marBottom w:val="0"/>
      <w:divBdr>
        <w:top w:val="none" w:sz="0" w:space="0" w:color="auto"/>
        <w:left w:val="none" w:sz="0" w:space="0" w:color="auto"/>
        <w:bottom w:val="none" w:sz="0" w:space="0" w:color="auto"/>
        <w:right w:val="none" w:sz="0" w:space="0" w:color="auto"/>
      </w:divBdr>
    </w:div>
    <w:div w:id="400098159">
      <w:bodyDiv w:val="1"/>
      <w:marLeft w:val="0"/>
      <w:marRight w:val="0"/>
      <w:marTop w:val="0"/>
      <w:marBottom w:val="0"/>
      <w:divBdr>
        <w:top w:val="none" w:sz="0" w:space="0" w:color="auto"/>
        <w:left w:val="none" w:sz="0" w:space="0" w:color="auto"/>
        <w:bottom w:val="none" w:sz="0" w:space="0" w:color="auto"/>
        <w:right w:val="none" w:sz="0" w:space="0" w:color="auto"/>
      </w:divBdr>
    </w:div>
    <w:div w:id="403649877">
      <w:bodyDiv w:val="1"/>
      <w:marLeft w:val="0"/>
      <w:marRight w:val="0"/>
      <w:marTop w:val="0"/>
      <w:marBottom w:val="0"/>
      <w:divBdr>
        <w:top w:val="none" w:sz="0" w:space="0" w:color="auto"/>
        <w:left w:val="none" w:sz="0" w:space="0" w:color="auto"/>
        <w:bottom w:val="none" w:sz="0" w:space="0" w:color="auto"/>
        <w:right w:val="none" w:sz="0" w:space="0" w:color="auto"/>
      </w:divBdr>
    </w:div>
    <w:div w:id="415903446">
      <w:marLeft w:val="0"/>
      <w:marRight w:val="0"/>
      <w:marTop w:val="0"/>
      <w:marBottom w:val="0"/>
      <w:divBdr>
        <w:top w:val="none" w:sz="0" w:space="0" w:color="auto"/>
        <w:left w:val="none" w:sz="0" w:space="0" w:color="auto"/>
        <w:bottom w:val="none" w:sz="0" w:space="0" w:color="auto"/>
        <w:right w:val="none" w:sz="0" w:space="0" w:color="auto"/>
      </w:divBdr>
      <w:divsChild>
        <w:div w:id="1096679818">
          <w:marLeft w:val="45"/>
          <w:marRight w:val="0"/>
          <w:marTop w:val="0"/>
          <w:marBottom w:val="0"/>
          <w:divBdr>
            <w:top w:val="none" w:sz="0" w:space="0" w:color="auto"/>
            <w:left w:val="none" w:sz="0" w:space="0" w:color="auto"/>
            <w:bottom w:val="none" w:sz="0" w:space="0" w:color="auto"/>
            <w:right w:val="none" w:sz="0" w:space="0" w:color="auto"/>
          </w:divBdr>
          <w:divsChild>
            <w:div w:id="138734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02720">
      <w:bodyDiv w:val="1"/>
      <w:marLeft w:val="0"/>
      <w:marRight w:val="0"/>
      <w:marTop w:val="0"/>
      <w:marBottom w:val="0"/>
      <w:divBdr>
        <w:top w:val="none" w:sz="0" w:space="0" w:color="auto"/>
        <w:left w:val="none" w:sz="0" w:space="0" w:color="auto"/>
        <w:bottom w:val="none" w:sz="0" w:space="0" w:color="auto"/>
        <w:right w:val="none" w:sz="0" w:space="0" w:color="auto"/>
      </w:divBdr>
      <w:divsChild>
        <w:div w:id="214127776">
          <w:marLeft w:val="0"/>
          <w:marRight w:val="0"/>
          <w:marTop w:val="0"/>
          <w:marBottom w:val="0"/>
          <w:divBdr>
            <w:top w:val="none" w:sz="0" w:space="0" w:color="auto"/>
            <w:left w:val="none" w:sz="0" w:space="0" w:color="auto"/>
            <w:bottom w:val="none" w:sz="0" w:space="0" w:color="auto"/>
            <w:right w:val="none" w:sz="0" w:space="0" w:color="auto"/>
          </w:divBdr>
        </w:div>
      </w:divsChild>
    </w:div>
    <w:div w:id="423456586">
      <w:bodyDiv w:val="1"/>
      <w:marLeft w:val="0"/>
      <w:marRight w:val="0"/>
      <w:marTop w:val="0"/>
      <w:marBottom w:val="0"/>
      <w:divBdr>
        <w:top w:val="none" w:sz="0" w:space="0" w:color="auto"/>
        <w:left w:val="none" w:sz="0" w:space="0" w:color="auto"/>
        <w:bottom w:val="none" w:sz="0" w:space="0" w:color="auto"/>
        <w:right w:val="none" w:sz="0" w:space="0" w:color="auto"/>
      </w:divBdr>
    </w:div>
    <w:div w:id="442384391">
      <w:bodyDiv w:val="1"/>
      <w:marLeft w:val="0"/>
      <w:marRight w:val="0"/>
      <w:marTop w:val="0"/>
      <w:marBottom w:val="0"/>
      <w:divBdr>
        <w:top w:val="none" w:sz="0" w:space="0" w:color="auto"/>
        <w:left w:val="none" w:sz="0" w:space="0" w:color="auto"/>
        <w:bottom w:val="none" w:sz="0" w:space="0" w:color="auto"/>
        <w:right w:val="none" w:sz="0" w:space="0" w:color="auto"/>
      </w:divBdr>
    </w:div>
    <w:div w:id="444083379">
      <w:bodyDiv w:val="1"/>
      <w:marLeft w:val="0"/>
      <w:marRight w:val="0"/>
      <w:marTop w:val="0"/>
      <w:marBottom w:val="0"/>
      <w:divBdr>
        <w:top w:val="none" w:sz="0" w:space="0" w:color="auto"/>
        <w:left w:val="none" w:sz="0" w:space="0" w:color="auto"/>
        <w:bottom w:val="none" w:sz="0" w:space="0" w:color="auto"/>
        <w:right w:val="none" w:sz="0" w:space="0" w:color="auto"/>
      </w:divBdr>
    </w:div>
    <w:div w:id="444468430">
      <w:bodyDiv w:val="1"/>
      <w:marLeft w:val="0"/>
      <w:marRight w:val="0"/>
      <w:marTop w:val="0"/>
      <w:marBottom w:val="0"/>
      <w:divBdr>
        <w:top w:val="none" w:sz="0" w:space="0" w:color="auto"/>
        <w:left w:val="none" w:sz="0" w:space="0" w:color="auto"/>
        <w:bottom w:val="none" w:sz="0" w:space="0" w:color="auto"/>
        <w:right w:val="none" w:sz="0" w:space="0" w:color="auto"/>
      </w:divBdr>
    </w:div>
    <w:div w:id="446630965">
      <w:bodyDiv w:val="1"/>
      <w:marLeft w:val="0"/>
      <w:marRight w:val="0"/>
      <w:marTop w:val="0"/>
      <w:marBottom w:val="0"/>
      <w:divBdr>
        <w:top w:val="none" w:sz="0" w:space="0" w:color="auto"/>
        <w:left w:val="none" w:sz="0" w:space="0" w:color="auto"/>
        <w:bottom w:val="none" w:sz="0" w:space="0" w:color="auto"/>
        <w:right w:val="none" w:sz="0" w:space="0" w:color="auto"/>
      </w:divBdr>
      <w:divsChild>
        <w:div w:id="1990941800">
          <w:marLeft w:val="0"/>
          <w:marRight w:val="0"/>
          <w:marTop w:val="0"/>
          <w:marBottom w:val="0"/>
          <w:divBdr>
            <w:top w:val="none" w:sz="0" w:space="0" w:color="auto"/>
            <w:left w:val="none" w:sz="0" w:space="0" w:color="auto"/>
            <w:bottom w:val="none" w:sz="0" w:space="0" w:color="auto"/>
            <w:right w:val="none" w:sz="0" w:space="0" w:color="auto"/>
          </w:divBdr>
        </w:div>
      </w:divsChild>
    </w:div>
    <w:div w:id="447819640">
      <w:bodyDiv w:val="1"/>
      <w:marLeft w:val="0"/>
      <w:marRight w:val="0"/>
      <w:marTop w:val="0"/>
      <w:marBottom w:val="0"/>
      <w:divBdr>
        <w:top w:val="none" w:sz="0" w:space="0" w:color="auto"/>
        <w:left w:val="none" w:sz="0" w:space="0" w:color="auto"/>
        <w:bottom w:val="none" w:sz="0" w:space="0" w:color="auto"/>
        <w:right w:val="none" w:sz="0" w:space="0" w:color="auto"/>
      </w:divBdr>
    </w:div>
    <w:div w:id="449977907">
      <w:bodyDiv w:val="1"/>
      <w:marLeft w:val="0"/>
      <w:marRight w:val="0"/>
      <w:marTop w:val="0"/>
      <w:marBottom w:val="0"/>
      <w:divBdr>
        <w:top w:val="none" w:sz="0" w:space="0" w:color="auto"/>
        <w:left w:val="none" w:sz="0" w:space="0" w:color="auto"/>
        <w:bottom w:val="none" w:sz="0" w:space="0" w:color="auto"/>
        <w:right w:val="none" w:sz="0" w:space="0" w:color="auto"/>
      </w:divBdr>
    </w:div>
    <w:div w:id="457602826">
      <w:bodyDiv w:val="1"/>
      <w:marLeft w:val="0"/>
      <w:marRight w:val="0"/>
      <w:marTop w:val="0"/>
      <w:marBottom w:val="0"/>
      <w:divBdr>
        <w:top w:val="none" w:sz="0" w:space="0" w:color="auto"/>
        <w:left w:val="none" w:sz="0" w:space="0" w:color="auto"/>
        <w:bottom w:val="none" w:sz="0" w:space="0" w:color="auto"/>
        <w:right w:val="none" w:sz="0" w:space="0" w:color="auto"/>
      </w:divBdr>
      <w:divsChild>
        <w:div w:id="594482165">
          <w:marLeft w:val="0"/>
          <w:marRight w:val="0"/>
          <w:marTop w:val="0"/>
          <w:marBottom w:val="0"/>
          <w:divBdr>
            <w:top w:val="none" w:sz="0" w:space="0" w:color="auto"/>
            <w:left w:val="none" w:sz="0" w:space="0" w:color="auto"/>
            <w:bottom w:val="none" w:sz="0" w:space="0" w:color="auto"/>
            <w:right w:val="none" w:sz="0" w:space="0" w:color="auto"/>
          </w:divBdr>
          <w:divsChild>
            <w:div w:id="617417663">
              <w:marLeft w:val="0"/>
              <w:marRight w:val="0"/>
              <w:marTop w:val="0"/>
              <w:marBottom w:val="0"/>
              <w:divBdr>
                <w:top w:val="none" w:sz="0" w:space="0" w:color="auto"/>
                <w:left w:val="none" w:sz="0" w:space="0" w:color="auto"/>
                <w:bottom w:val="none" w:sz="0" w:space="0" w:color="auto"/>
                <w:right w:val="none" w:sz="0" w:space="0" w:color="auto"/>
              </w:divBdr>
              <w:divsChild>
                <w:div w:id="99181526">
                  <w:marLeft w:val="0"/>
                  <w:marRight w:val="0"/>
                  <w:marTop w:val="0"/>
                  <w:marBottom w:val="0"/>
                  <w:divBdr>
                    <w:top w:val="none" w:sz="0" w:space="0" w:color="auto"/>
                    <w:left w:val="none" w:sz="0" w:space="0" w:color="auto"/>
                    <w:bottom w:val="none" w:sz="0" w:space="0" w:color="auto"/>
                    <w:right w:val="none" w:sz="0" w:space="0" w:color="auto"/>
                  </w:divBdr>
                  <w:divsChild>
                    <w:div w:id="2106731396">
                      <w:marLeft w:val="0"/>
                      <w:marRight w:val="0"/>
                      <w:marTop w:val="0"/>
                      <w:marBottom w:val="0"/>
                      <w:divBdr>
                        <w:top w:val="none" w:sz="0" w:space="0" w:color="auto"/>
                        <w:left w:val="none" w:sz="0" w:space="0" w:color="auto"/>
                        <w:bottom w:val="none" w:sz="0" w:space="0" w:color="auto"/>
                        <w:right w:val="none" w:sz="0" w:space="0" w:color="auto"/>
                      </w:divBdr>
                      <w:divsChild>
                        <w:div w:id="129213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0542150">
      <w:bodyDiv w:val="1"/>
      <w:marLeft w:val="0"/>
      <w:marRight w:val="0"/>
      <w:marTop w:val="0"/>
      <w:marBottom w:val="0"/>
      <w:divBdr>
        <w:top w:val="none" w:sz="0" w:space="0" w:color="auto"/>
        <w:left w:val="none" w:sz="0" w:space="0" w:color="auto"/>
        <w:bottom w:val="none" w:sz="0" w:space="0" w:color="auto"/>
        <w:right w:val="none" w:sz="0" w:space="0" w:color="auto"/>
      </w:divBdr>
      <w:divsChild>
        <w:div w:id="365831611">
          <w:marLeft w:val="0"/>
          <w:marRight w:val="0"/>
          <w:marTop w:val="0"/>
          <w:marBottom w:val="0"/>
          <w:divBdr>
            <w:top w:val="none" w:sz="0" w:space="0" w:color="auto"/>
            <w:left w:val="none" w:sz="0" w:space="0" w:color="auto"/>
            <w:bottom w:val="none" w:sz="0" w:space="0" w:color="auto"/>
            <w:right w:val="none" w:sz="0" w:space="0" w:color="auto"/>
          </w:divBdr>
          <w:divsChild>
            <w:div w:id="13048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346446">
      <w:bodyDiv w:val="1"/>
      <w:marLeft w:val="0"/>
      <w:marRight w:val="0"/>
      <w:marTop w:val="0"/>
      <w:marBottom w:val="0"/>
      <w:divBdr>
        <w:top w:val="none" w:sz="0" w:space="0" w:color="auto"/>
        <w:left w:val="none" w:sz="0" w:space="0" w:color="auto"/>
        <w:bottom w:val="none" w:sz="0" w:space="0" w:color="auto"/>
        <w:right w:val="none" w:sz="0" w:space="0" w:color="auto"/>
      </w:divBdr>
      <w:divsChild>
        <w:div w:id="770708382">
          <w:marLeft w:val="0"/>
          <w:marRight w:val="0"/>
          <w:marTop w:val="0"/>
          <w:marBottom w:val="0"/>
          <w:divBdr>
            <w:top w:val="none" w:sz="0" w:space="0" w:color="auto"/>
            <w:left w:val="none" w:sz="0" w:space="0" w:color="auto"/>
            <w:bottom w:val="none" w:sz="0" w:space="0" w:color="auto"/>
            <w:right w:val="none" w:sz="0" w:space="0" w:color="auto"/>
          </w:divBdr>
        </w:div>
      </w:divsChild>
    </w:div>
    <w:div w:id="479930364">
      <w:bodyDiv w:val="1"/>
      <w:marLeft w:val="0"/>
      <w:marRight w:val="0"/>
      <w:marTop w:val="0"/>
      <w:marBottom w:val="0"/>
      <w:divBdr>
        <w:top w:val="none" w:sz="0" w:space="0" w:color="auto"/>
        <w:left w:val="none" w:sz="0" w:space="0" w:color="auto"/>
        <w:bottom w:val="none" w:sz="0" w:space="0" w:color="auto"/>
        <w:right w:val="none" w:sz="0" w:space="0" w:color="auto"/>
      </w:divBdr>
    </w:div>
    <w:div w:id="484709884">
      <w:marLeft w:val="0"/>
      <w:marRight w:val="0"/>
      <w:marTop w:val="0"/>
      <w:marBottom w:val="0"/>
      <w:divBdr>
        <w:top w:val="none" w:sz="0" w:space="0" w:color="auto"/>
        <w:left w:val="none" w:sz="0" w:space="0" w:color="auto"/>
        <w:bottom w:val="none" w:sz="0" w:space="0" w:color="auto"/>
        <w:right w:val="none" w:sz="0" w:space="0" w:color="auto"/>
      </w:divBdr>
      <w:divsChild>
        <w:div w:id="1235550409">
          <w:marLeft w:val="45"/>
          <w:marRight w:val="0"/>
          <w:marTop w:val="0"/>
          <w:marBottom w:val="0"/>
          <w:divBdr>
            <w:top w:val="none" w:sz="0" w:space="0" w:color="auto"/>
            <w:left w:val="none" w:sz="0" w:space="0" w:color="auto"/>
            <w:bottom w:val="none" w:sz="0" w:space="0" w:color="auto"/>
            <w:right w:val="none" w:sz="0" w:space="0" w:color="auto"/>
          </w:divBdr>
          <w:divsChild>
            <w:div w:id="175604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560859">
      <w:bodyDiv w:val="1"/>
      <w:marLeft w:val="0"/>
      <w:marRight w:val="0"/>
      <w:marTop w:val="0"/>
      <w:marBottom w:val="0"/>
      <w:divBdr>
        <w:top w:val="none" w:sz="0" w:space="0" w:color="auto"/>
        <w:left w:val="none" w:sz="0" w:space="0" w:color="auto"/>
        <w:bottom w:val="none" w:sz="0" w:space="0" w:color="auto"/>
        <w:right w:val="none" w:sz="0" w:space="0" w:color="auto"/>
      </w:divBdr>
      <w:divsChild>
        <w:div w:id="1754400077">
          <w:marLeft w:val="0"/>
          <w:marRight w:val="0"/>
          <w:marTop w:val="0"/>
          <w:marBottom w:val="0"/>
          <w:divBdr>
            <w:top w:val="none" w:sz="0" w:space="0" w:color="auto"/>
            <w:left w:val="none" w:sz="0" w:space="0" w:color="auto"/>
            <w:bottom w:val="none" w:sz="0" w:space="0" w:color="auto"/>
            <w:right w:val="none" w:sz="0" w:space="0" w:color="auto"/>
          </w:divBdr>
          <w:divsChild>
            <w:div w:id="209921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874908">
      <w:bodyDiv w:val="1"/>
      <w:marLeft w:val="0"/>
      <w:marRight w:val="0"/>
      <w:marTop w:val="0"/>
      <w:marBottom w:val="0"/>
      <w:divBdr>
        <w:top w:val="none" w:sz="0" w:space="0" w:color="auto"/>
        <w:left w:val="none" w:sz="0" w:space="0" w:color="auto"/>
        <w:bottom w:val="none" w:sz="0" w:space="0" w:color="auto"/>
        <w:right w:val="none" w:sz="0" w:space="0" w:color="auto"/>
      </w:divBdr>
    </w:div>
    <w:div w:id="492069552">
      <w:bodyDiv w:val="1"/>
      <w:marLeft w:val="0"/>
      <w:marRight w:val="0"/>
      <w:marTop w:val="0"/>
      <w:marBottom w:val="0"/>
      <w:divBdr>
        <w:top w:val="none" w:sz="0" w:space="0" w:color="auto"/>
        <w:left w:val="none" w:sz="0" w:space="0" w:color="auto"/>
        <w:bottom w:val="none" w:sz="0" w:space="0" w:color="auto"/>
        <w:right w:val="none" w:sz="0" w:space="0" w:color="auto"/>
      </w:divBdr>
      <w:divsChild>
        <w:div w:id="1998067255">
          <w:marLeft w:val="0"/>
          <w:marRight w:val="0"/>
          <w:marTop w:val="0"/>
          <w:marBottom w:val="0"/>
          <w:divBdr>
            <w:top w:val="none" w:sz="0" w:space="0" w:color="auto"/>
            <w:left w:val="none" w:sz="0" w:space="0" w:color="auto"/>
            <w:bottom w:val="none" w:sz="0" w:space="0" w:color="auto"/>
            <w:right w:val="none" w:sz="0" w:space="0" w:color="auto"/>
          </w:divBdr>
          <w:divsChild>
            <w:div w:id="640307989">
              <w:marLeft w:val="0"/>
              <w:marRight w:val="0"/>
              <w:marTop w:val="0"/>
              <w:marBottom w:val="0"/>
              <w:divBdr>
                <w:top w:val="none" w:sz="0" w:space="0" w:color="auto"/>
                <w:left w:val="none" w:sz="0" w:space="0" w:color="auto"/>
                <w:bottom w:val="none" w:sz="0" w:space="0" w:color="auto"/>
                <w:right w:val="none" w:sz="0" w:space="0" w:color="auto"/>
              </w:divBdr>
              <w:divsChild>
                <w:div w:id="15231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98498903">
      <w:bodyDiv w:val="1"/>
      <w:marLeft w:val="0"/>
      <w:marRight w:val="0"/>
      <w:marTop w:val="0"/>
      <w:marBottom w:val="0"/>
      <w:divBdr>
        <w:top w:val="none" w:sz="0" w:space="0" w:color="auto"/>
        <w:left w:val="none" w:sz="0" w:space="0" w:color="auto"/>
        <w:bottom w:val="none" w:sz="0" w:space="0" w:color="auto"/>
        <w:right w:val="none" w:sz="0" w:space="0" w:color="auto"/>
      </w:divBdr>
    </w:div>
    <w:div w:id="504396386">
      <w:bodyDiv w:val="1"/>
      <w:marLeft w:val="0"/>
      <w:marRight w:val="0"/>
      <w:marTop w:val="0"/>
      <w:marBottom w:val="0"/>
      <w:divBdr>
        <w:top w:val="none" w:sz="0" w:space="0" w:color="auto"/>
        <w:left w:val="none" w:sz="0" w:space="0" w:color="auto"/>
        <w:bottom w:val="none" w:sz="0" w:space="0" w:color="auto"/>
        <w:right w:val="none" w:sz="0" w:space="0" w:color="auto"/>
      </w:divBdr>
    </w:div>
    <w:div w:id="510144475">
      <w:bodyDiv w:val="1"/>
      <w:marLeft w:val="0"/>
      <w:marRight w:val="0"/>
      <w:marTop w:val="0"/>
      <w:marBottom w:val="0"/>
      <w:divBdr>
        <w:top w:val="none" w:sz="0" w:space="0" w:color="auto"/>
        <w:left w:val="none" w:sz="0" w:space="0" w:color="auto"/>
        <w:bottom w:val="none" w:sz="0" w:space="0" w:color="auto"/>
        <w:right w:val="none" w:sz="0" w:space="0" w:color="auto"/>
      </w:divBdr>
    </w:div>
    <w:div w:id="515659663">
      <w:bodyDiv w:val="1"/>
      <w:marLeft w:val="0"/>
      <w:marRight w:val="0"/>
      <w:marTop w:val="0"/>
      <w:marBottom w:val="0"/>
      <w:divBdr>
        <w:top w:val="none" w:sz="0" w:space="0" w:color="auto"/>
        <w:left w:val="none" w:sz="0" w:space="0" w:color="auto"/>
        <w:bottom w:val="none" w:sz="0" w:space="0" w:color="auto"/>
        <w:right w:val="none" w:sz="0" w:space="0" w:color="auto"/>
      </w:divBdr>
    </w:div>
    <w:div w:id="521162664">
      <w:bodyDiv w:val="1"/>
      <w:marLeft w:val="0"/>
      <w:marRight w:val="0"/>
      <w:marTop w:val="0"/>
      <w:marBottom w:val="0"/>
      <w:divBdr>
        <w:top w:val="none" w:sz="0" w:space="0" w:color="auto"/>
        <w:left w:val="none" w:sz="0" w:space="0" w:color="auto"/>
        <w:bottom w:val="none" w:sz="0" w:space="0" w:color="auto"/>
        <w:right w:val="none" w:sz="0" w:space="0" w:color="auto"/>
      </w:divBdr>
    </w:div>
    <w:div w:id="531380114">
      <w:bodyDiv w:val="1"/>
      <w:marLeft w:val="0"/>
      <w:marRight w:val="0"/>
      <w:marTop w:val="0"/>
      <w:marBottom w:val="0"/>
      <w:divBdr>
        <w:top w:val="none" w:sz="0" w:space="0" w:color="auto"/>
        <w:left w:val="none" w:sz="0" w:space="0" w:color="auto"/>
        <w:bottom w:val="none" w:sz="0" w:space="0" w:color="auto"/>
        <w:right w:val="none" w:sz="0" w:space="0" w:color="auto"/>
      </w:divBdr>
    </w:div>
    <w:div w:id="534343513">
      <w:bodyDiv w:val="1"/>
      <w:marLeft w:val="0"/>
      <w:marRight w:val="0"/>
      <w:marTop w:val="0"/>
      <w:marBottom w:val="0"/>
      <w:divBdr>
        <w:top w:val="none" w:sz="0" w:space="0" w:color="auto"/>
        <w:left w:val="none" w:sz="0" w:space="0" w:color="auto"/>
        <w:bottom w:val="none" w:sz="0" w:space="0" w:color="auto"/>
        <w:right w:val="none" w:sz="0" w:space="0" w:color="auto"/>
      </w:divBdr>
    </w:div>
    <w:div w:id="536818075">
      <w:bodyDiv w:val="1"/>
      <w:marLeft w:val="0"/>
      <w:marRight w:val="0"/>
      <w:marTop w:val="0"/>
      <w:marBottom w:val="0"/>
      <w:divBdr>
        <w:top w:val="none" w:sz="0" w:space="0" w:color="auto"/>
        <w:left w:val="none" w:sz="0" w:space="0" w:color="auto"/>
        <w:bottom w:val="none" w:sz="0" w:space="0" w:color="auto"/>
        <w:right w:val="none" w:sz="0" w:space="0" w:color="auto"/>
      </w:divBdr>
    </w:div>
    <w:div w:id="542448612">
      <w:bodyDiv w:val="1"/>
      <w:marLeft w:val="0"/>
      <w:marRight w:val="0"/>
      <w:marTop w:val="0"/>
      <w:marBottom w:val="0"/>
      <w:divBdr>
        <w:top w:val="none" w:sz="0" w:space="0" w:color="auto"/>
        <w:left w:val="none" w:sz="0" w:space="0" w:color="auto"/>
        <w:bottom w:val="none" w:sz="0" w:space="0" w:color="auto"/>
        <w:right w:val="none" w:sz="0" w:space="0" w:color="auto"/>
      </w:divBdr>
    </w:div>
    <w:div w:id="548224614">
      <w:bodyDiv w:val="1"/>
      <w:marLeft w:val="0"/>
      <w:marRight w:val="0"/>
      <w:marTop w:val="0"/>
      <w:marBottom w:val="0"/>
      <w:divBdr>
        <w:top w:val="none" w:sz="0" w:space="0" w:color="auto"/>
        <w:left w:val="none" w:sz="0" w:space="0" w:color="auto"/>
        <w:bottom w:val="none" w:sz="0" w:space="0" w:color="auto"/>
        <w:right w:val="none" w:sz="0" w:space="0" w:color="auto"/>
      </w:divBdr>
    </w:div>
    <w:div w:id="549651587">
      <w:bodyDiv w:val="1"/>
      <w:marLeft w:val="0"/>
      <w:marRight w:val="0"/>
      <w:marTop w:val="0"/>
      <w:marBottom w:val="0"/>
      <w:divBdr>
        <w:top w:val="none" w:sz="0" w:space="0" w:color="auto"/>
        <w:left w:val="none" w:sz="0" w:space="0" w:color="auto"/>
        <w:bottom w:val="none" w:sz="0" w:space="0" w:color="auto"/>
        <w:right w:val="none" w:sz="0" w:space="0" w:color="auto"/>
      </w:divBdr>
    </w:div>
    <w:div w:id="554855181">
      <w:bodyDiv w:val="1"/>
      <w:marLeft w:val="0"/>
      <w:marRight w:val="0"/>
      <w:marTop w:val="0"/>
      <w:marBottom w:val="0"/>
      <w:divBdr>
        <w:top w:val="none" w:sz="0" w:space="0" w:color="auto"/>
        <w:left w:val="none" w:sz="0" w:space="0" w:color="auto"/>
        <w:bottom w:val="none" w:sz="0" w:space="0" w:color="auto"/>
        <w:right w:val="none" w:sz="0" w:space="0" w:color="auto"/>
      </w:divBdr>
    </w:div>
    <w:div w:id="556748274">
      <w:bodyDiv w:val="1"/>
      <w:marLeft w:val="0"/>
      <w:marRight w:val="0"/>
      <w:marTop w:val="0"/>
      <w:marBottom w:val="0"/>
      <w:divBdr>
        <w:top w:val="none" w:sz="0" w:space="0" w:color="auto"/>
        <w:left w:val="none" w:sz="0" w:space="0" w:color="auto"/>
        <w:bottom w:val="none" w:sz="0" w:space="0" w:color="auto"/>
        <w:right w:val="none" w:sz="0" w:space="0" w:color="auto"/>
      </w:divBdr>
    </w:div>
    <w:div w:id="568080279">
      <w:bodyDiv w:val="1"/>
      <w:marLeft w:val="0"/>
      <w:marRight w:val="0"/>
      <w:marTop w:val="0"/>
      <w:marBottom w:val="0"/>
      <w:divBdr>
        <w:top w:val="none" w:sz="0" w:space="0" w:color="auto"/>
        <w:left w:val="none" w:sz="0" w:space="0" w:color="auto"/>
        <w:bottom w:val="none" w:sz="0" w:space="0" w:color="auto"/>
        <w:right w:val="none" w:sz="0" w:space="0" w:color="auto"/>
      </w:divBdr>
    </w:div>
    <w:div w:id="570502450">
      <w:bodyDiv w:val="1"/>
      <w:marLeft w:val="0"/>
      <w:marRight w:val="0"/>
      <w:marTop w:val="0"/>
      <w:marBottom w:val="0"/>
      <w:divBdr>
        <w:top w:val="none" w:sz="0" w:space="0" w:color="auto"/>
        <w:left w:val="none" w:sz="0" w:space="0" w:color="auto"/>
        <w:bottom w:val="none" w:sz="0" w:space="0" w:color="auto"/>
        <w:right w:val="none" w:sz="0" w:space="0" w:color="auto"/>
      </w:divBdr>
    </w:div>
    <w:div w:id="577520046">
      <w:bodyDiv w:val="1"/>
      <w:marLeft w:val="0"/>
      <w:marRight w:val="0"/>
      <w:marTop w:val="0"/>
      <w:marBottom w:val="0"/>
      <w:divBdr>
        <w:top w:val="none" w:sz="0" w:space="0" w:color="auto"/>
        <w:left w:val="none" w:sz="0" w:space="0" w:color="auto"/>
        <w:bottom w:val="none" w:sz="0" w:space="0" w:color="auto"/>
        <w:right w:val="none" w:sz="0" w:space="0" w:color="auto"/>
      </w:divBdr>
    </w:div>
    <w:div w:id="581573797">
      <w:bodyDiv w:val="1"/>
      <w:marLeft w:val="0"/>
      <w:marRight w:val="0"/>
      <w:marTop w:val="0"/>
      <w:marBottom w:val="0"/>
      <w:divBdr>
        <w:top w:val="none" w:sz="0" w:space="0" w:color="auto"/>
        <w:left w:val="none" w:sz="0" w:space="0" w:color="auto"/>
        <w:bottom w:val="none" w:sz="0" w:space="0" w:color="auto"/>
        <w:right w:val="none" w:sz="0" w:space="0" w:color="auto"/>
      </w:divBdr>
    </w:div>
    <w:div w:id="590434892">
      <w:bodyDiv w:val="1"/>
      <w:marLeft w:val="0"/>
      <w:marRight w:val="0"/>
      <w:marTop w:val="0"/>
      <w:marBottom w:val="0"/>
      <w:divBdr>
        <w:top w:val="none" w:sz="0" w:space="0" w:color="auto"/>
        <w:left w:val="none" w:sz="0" w:space="0" w:color="auto"/>
        <w:bottom w:val="none" w:sz="0" w:space="0" w:color="auto"/>
        <w:right w:val="none" w:sz="0" w:space="0" w:color="auto"/>
      </w:divBdr>
    </w:div>
    <w:div w:id="597713077">
      <w:bodyDiv w:val="1"/>
      <w:marLeft w:val="0"/>
      <w:marRight w:val="0"/>
      <w:marTop w:val="0"/>
      <w:marBottom w:val="0"/>
      <w:divBdr>
        <w:top w:val="none" w:sz="0" w:space="0" w:color="auto"/>
        <w:left w:val="none" w:sz="0" w:space="0" w:color="auto"/>
        <w:bottom w:val="none" w:sz="0" w:space="0" w:color="auto"/>
        <w:right w:val="none" w:sz="0" w:space="0" w:color="auto"/>
      </w:divBdr>
    </w:div>
    <w:div w:id="598099176">
      <w:bodyDiv w:val="1"/>
      <w:marLeft w:val="0"/>
      <w:marRight w:val="0"/>
      <w:marTop w:val="0"/>
      <w:marBottom w:val="0"/>
      <w:divBdr>
        <w:top w:val="none" w:sz="0" w:space="0" w:color="auto"/>
        <w:left w:val="none" w:sz="0" w:space="0" w:color="auto"/>
        <w:bottom w:val="none" w:sz="0" w:space="0" w:color="auto"/>
        <w:right w:val="none" w:sz="0" w:space="0" w:color="auto"/>
      </w:divBdr>
      <w:divsChild>
        <w:div w:id="1613244359">
          <w:marLeft w:val="0"/>
          <w:marRight w:val="0"/>
          <w:marTop w:val="0"/>
          <w:marBottom w:val="0"/>
          <w:divBdr>
            <w:top w:val="none" w:sz="0" w:space="0" w:color="auto"/>
            <w:left w:val="none" w:sz="0" w:space="0" w:color="auto"/>
            <w:bottom w:val="none" w:sz="0" w:space="0" w:color="auto"/>
            <w:right w:val="none" w:sz="0" w:space="0" w:color="auto"/>
          </w:divBdr>
        </w:div>
      </w:divsChild>
    </w:div>
    <w:div w:id="607616315">
      <w:bodyDiv w:val="1"/>
      <w:marLeft w:val="0"/>
      <w:marRight w:val="0"/>
      <w:marTop w:val="0"/>
      <w:marBottom w:val="0"/>
      <w:divBdr>
        <w:top w:val="none" w:sz="0" w:space="0" w:color="auto"/>
        <w:left w:val="none" w:sz="0" w:space="0" w:color="auto"/>
        <w:bottom w:val="none" w:sz="0" w:space="0" w:color="auto"/>
        <w:right w:val="none" w:sz="0" w:space="0" w:color="auto"/>
      </w:divBdr>
      <w:divsChild>
        <w:div w:id="167869767">
          <w:marLeft w:val="0"/>
          <w:marRight w:val="0"/>
          <w:marTop w:val="0"/>
          <w:marBottom w:val="0"/>
          <w:divBdr>
            <w:top w:val="none" w:sz="0" w:space="0" w:color="auto"/>
            <w:left w:val="none" w:sz="0" w:space="0" w:color="auto"/>
            <w:bottom w:val="none" w:sz="0" w:space="0" w:color="auto"/>
            <w:right w:val="none" w:sz="0" w:space="0" w:color="auto"/>
          </w:divBdr>
          <w:divsChild>
            <w:div w:id="60165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382418">
      <w:bodyDiv w:val="1"/>
      <w:marLeft w:val="0"/>
      <w:marRight w:val="0"/>
      <w:marTop w:val="0"/>
      <w:marBottom w:val="0"/>
      <w:divBdr>
        <w:top w:val="none" w:sz="0" w:space="0" w:color="auto"/>
        <w:left w:val="none" w:sz="0" w:space="0" w:color="auto"/>
        <w:bottom w:val="none" w:sz="0" w:space="0" w:color="auto"/>
        <w:right w:val="none" w:sz="0" w:space="0" w:color="auto"/>
      </w:divBdr>
    </w:div>
    <w:div w:id="647320220">
      <w:bodyDiv w:val="1"/>
      <w:marLeft w:val="0"/>
      <w:marRight w:val="0"/>
      <w:marTop w:val="0"/>
      <w:marBottom w:val="0"/>
      <w:divBdr>
        <w:top w:val="none" w:sz="0" w:space="0" w:color="auto"/>
        <w:left w:val="none" w:sz="0" w:space="0" w:color="auto"/>
        <w:bottom w:val="none" w:sz="0" w:space="0" w:color="auto"/>
        <w:right w:val="none" w:sz="0" w:space="0" w:color="auto"/>
      </w:divBdr>
    </w:div>
    <w:div w:id="648437183">
      <w:bodyDiv w:val="1"/>
      <w:marLeft w:val="0"/>
      <w:marRight w:val="0"/>
      <w:marTop w:val="0"/>
      <w:marBottom w:val="0"/>
      <w:divBdr>
        <w:top w:val="none" w:sz="0" w:space="0" w:color="auto"/>
        <w:left w:val="none" w:sz="0" w:space="0" w:color="auto"/>
        <w:bottom w:val="none" w:sz="0" w:space="0" w:color="auto"/>
        <w:right w:val="none" w:sz="0" w:space="0" w:color="auto"/>
      </w:divBdr>
    </w:div>
    <w:div w:id="651912701">
      <w:bodyDiv w:val="1"/>
      <w:marLeft w:val="0"/>
      <w:marRight w:val="0"/>
      <w:marTop w:val="0"/>
      <w:marBottom w:val="0"/>
      <w:divBdr>
        <w:top w:val="none" w:sz="0" w:space="0" w:color="auto"/>
        <w:left w:val="none" w:sz="0" w:space="0" w:color="auto"/>
        <w:bottom w:val="none" w:sz="0" w:space="0" w:color="auto"/>
        <w:right w:val="none" w:sz="0" w:space="0" w:color="auto"/>
      </w:divBdr>
    </w:div>
    <w:div w:id="657072211">
      <w:bodyDiv w:val="1"/>
      <w:marLeft w:val="0"/>
      <w:marRight w:val="0"/>
      <w:marTop w:val="0"/>
      <w:marBottom w:val="0"/>
      <w:divBdr>
        <w:top w:val="none" w:sz="0" w:space="0" w:color="auto"/>
        <w:left w:val="none" w:sz="0" w:space="0" w:color="auto"/>
        <w:bottom w:val="none" w:sz="0" w:space="0" w:color="auto"/>
        <w:right w:val="none" w:sz="0" w:space="0" w:color="auto"/>
      </w:divBdr>
      <w:divsChild>
        <w:div w:id="780152573">
          <w:marLeft w:val="0"/>
          <w:marRight w:val="0"/>
          <w:marTop w:val="0"/>
          <w:marBottom w:val="0"/>
          <w:divBdr>
            <w:top w:val="none" w:sz="0" w:space="0" w:color="auto"/>
            <w:left w:val="none" w:sz="0" w:space="0" w:color="auto"/>
            <w:bottom w:val="none" w:sz="0" w:space="0" w:color="auto"/>
            <w:right w:val="none" w:sz="0" w:space="0" w:color="auto"/>
          </w:divBdr>
          <w:divsChild>
            <w:div w:id="610209561">
              <w:marLeft w:val="0"/>
              <w:marRight w:val="0"/>
              <w:marTop w:val="0"/>
              <w:marBottom w:val="0"/>
              <w:divBdr>
                <w:top w:val="none" w:sz="0" w:space="0" w:color="auto"/>
                <w:left w:val="none" w:sz="0" w:space="0" w:color="auto"/>
                <w:bottom w:val="none" w:sz="0" w:space="0" w:color="auto"/>
                <w:right w:val="none" w:sz="0" w:space="0" w:color="auto"/>
              </w:divBdr>
              <w:divsChild>
                <w:div w:id="1590310039">
                  <w:marLeft w:val="0"/>
                  <w:marRight w:val="0"/>
                  <w:marTop w:val="0"/>
                  <w:marBottom w:val="0"/>
                  <w:divBdr>
                    <w:top w:val="none" w:sz="0" w:space="0" w:color="auto"/>
                    <w:left w:val="none" w:sz="0" w:space="0" w:color="auto"/>
                    <w:bottom w:val="none" w:sz="0" w:space="0" w:color="auto"/>
                    <w:right w:val="none" w:sz="0" w:space="0" w:color="auto"/>
                  </w:divBdr>
                  <w:divsChild>
                    <w:div w:id="1179852741">
                      <w:marLeft w:val="0"/>
                      <w:marRight w:val="0"/>
                      <w:marTop w:val="0"/>
                      <w:marBottom w:val="0"/>
                      <w:divBdr>
                        <w:top w:val="none" w:sz="0" w:space="0" w:color="auto"/>
                        <w:left w:val="none" w:sz="0" w:space="0" w:color="auto"/>
                        <w:bottom w:val="none" w:sz="0" w:space="0" w:color="auto"/>
                        <w:right w:val="none" w:sz="0" w:space="0" w:color="auto"/>
                      </w:divBdr>
                      <w:divsChild>
                        <w:div w:id="174661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7618357">
      <w:bodyDiv w:val="1"/>
      <w:marLeft w:val="0"/>
      <w:marRight w:val="0"/>
      <w:marTop w:val="0"/>
      <w:marBottom w:val="0"/>
      <w:divBdr>
        <w:top w:val="none" w:sz="0" w:space="0" w:color="auto"/>
        <w:left w:val="none" w:sz="0" w:space="0" w:color="auto"/>
        <w:bottom w:val="none" w:sz="0" w:space="0" w:color="auto"/>
        <w:right w:val="none" w:sz="0" w:space="0" w:color="auto"/>
      </w:divBdr>
    </w:div>
    <w:div w:id="664166179">
      <w:bodyDiv w:val="1"/>
      <w:marLeft w:val="0"/>
      <w:marRight w:val="0"/>
      <w:marTop w:val="0"/>
      <w:marBottom w:val="0"/>
      <w:divBdr>
        <w:top w:val="none" w:sz="0" w:space="0" w:color="auto"/>
        <w:left w:val="none" w:sz="0" w:space="0" w:color="auto"/>
        <w:bottom w:val="none" w:sz="0" w:space="0" w:color="auto"/>
        <w:right w:val="none" w:sz="0" w:space="0" w:color="auto"/>
      </w:divBdr>
    </w:div>
    <w:div w:id="669794337">
      <w:bodyDiv w:val="1"/>
      <w:marLeft w:val="0"/>
      <w:marRight w:val="0"/>
      <w:marTop w:val="0"/>
      <w:marBottom w:val="0"/>
      <w:divBdr>
        <w:top w:val="none" w:sz="0" w:space="0" w:color="auto"/>
        <w:left w:val="none" w:sz="0" w:space="0" w:color="auto"/>
        <w:bottom w:val="none" w:sz="0" w:space="0" w:color="auto"/>
        <w:right w:val="none" w:sz="0" w:space="0" w:color="auto"/>
      </w:divBdr>
      <w:divsChild>
        <w:div w:id="441463505">
          <w:marLeft w:val="0"/>
          <w:marRight w:val="0"/>
          <w:marTop w:val="0"/>
          <w:marBottom w:val="450"/>
          <w:divBdr>
            <w:top w:val="none" w:sz="0" w:space="0" w:color="auto"/>
            <w:left w:val="none" w:sz="0" w:space="0" w:color="auto"/>
            <w:bottom w:val="none" w:sz="0" w:space="0" w:color="auto"/>
            <w:right w:val="none" w:sz="0" w:space="0" w:color="auto"/>
          </w:divBdr>
        </w:div>
      </w:divsChild>
    </w:div>
    <w:div w:id="670914722">
      <w:bodyDiv w:val="1"/>
      <w:marLeft w:val="0"/>
      <w:marRight w:val="0"/>
      <w:marTop w:val="0"/>
      <w:marBottom w:val="0"/>
      <w:divBdr>
        <w:top w:val="none" w:sz="0" w:space="0" w:color="auto"/>
        <w:left w:val="none" w:sz="0" w:space="0" w:color="auto"/>
        <w:bottom w:val="none" w:sz="0" w:space="0" w:color="auto"/>
        <w:right w:val="none" w:sz="0" w:space="0" w:color="auto"/>
      </w:divBdr>
    </w:div>
    <w:div w:id="672299440">
      <w:bodyDiv w:val="1"/>
      <w:marLeft w:val="0"/>
      <w:marRight w:val="0"/>
      <w:marTop w:val="0"/>
      <w:marBottom w:val="0"/>
      <w:divBdr>
        <w:top w:val="none" w:sz="0" w:space="0" w:color="auto"/>
        <w:left w:val="none" w:sz="0" w:space="0" w:color="auto"/>
        <w:bottom w:val="none" w:sz="0" w:space="0" w:color="auto"/>
        <w:right w:val="none" w:sz="0" w:space="0" w:color="auto"/>
      </w:divBdr>
    </w:div>
    <w:div w:id="684135653">
      <w:bodyDiv w:val="1"/>
      <w:marLeft w:val="0"/>
      <w:marRight w:val="0"/>
      <w:marTop w:val="0"/>
      <w:marBottom w:val="0"/>
      <w:divBdr>
        <w:top w:val="none" w:sz="0" w:space="0" w:color="auto"/>
        <w:left w:val="none" w:sz="0" w:space="0" w:color="auto"/>
        <w:bottom w:val="none" w:sz="0" w:space="0" w:color="auto"/>
        <w:right w:val="none" w:sz="0" w:space="0" w:color="auto"/>
      </w:divBdr>
    </w:div>
    <w:div w:id="687029407">
      <w:bodyDiv w:val="1"/>
      <w:marLeft w:val="0"/>
      <w:marRight w:val="0"/>
      <w:marTop w:val="0"/>
      <w:marBottom w:val="0"/>
      <w:divBdr>
        <w:top w:val="none" w:sz="0" w:space="0" w:color="auto"/>
        <w:left w:val="none" w:sz="0" w:space="0" w:color="auto"/>
        <w:bottom w:val="none" w:sz="0" w:space="0" w:color="auto"/>
        <w:right w:val="none" w:sz="0" w:space="0" w:color="auto"/>
      </w:divBdr>
      <w:divsChild>
        <w:div w:id="1251891461">
          <w:marLeft w:val="0"/>
          <w:marRight w:val="0"/>
          <w:marTop w:val="0"/>
          <w:marBottom w:val="0"/>
          <w:divBdr>
            <w:top w:val="none" w:sz="0" w:space="0" w:color="auto"/>
            <w:left w:val="none" w:sz="0" w:space="0" w:color="auto"/>
            <w:bottom w:val="none" w:sz="0" w:space="0" w:color="auto"/>
            <w:right w:val="none" w:sz="0" w:space="0" w:color="auto"/>
          </w:divBdr>
          <w:divsChild>
            <w:div w:id="1890411302">
              <w:marLeft w:val="0"/>
              <w:marRight w:val="0"/>
              <w:marTop w:val="0"/>
              <w:marBottom w:val="0"/>
              <w:divBdr>
                <w:top w:val="none" w:sz="0" w:space="0" w:color="auto"/>
                <w:left w:val="none" w:sz="0" w:space="0" w:color="auto"/>
                <w:bottom w:val="none" w:sz="0" w:space="0" w:color="auto"/>
                <w:right w:val="none" w:sz="0" w:space="0" w:color="auto"/>
              </w:divBdr>
              <w:divsChild>
                <w:div w:id="1129593383">
                  <w:marLeft w:val="0"/>
                  <w:marRight w:val="0"/>
                  <w:marTop w:val="300"/>
                  <w:marBottom w:val="375"/>
                  <w:divBdr>
                    <w:top w:val="none" w:sz="0" w:space="0" w:color="auto"/>
                    <w:left w:val="none" w:sz="0" w:space="0" w:color="auto"/>
                    <w:bottom w:val="none" w:sz="0" w:space="0" w:color="auto"/>
                    <w:right w:val="none" w:sz="0" w:space="0" w:color="auto"/>
                  </w:divBdr>
                  <w:divsChild>
                    <w:div w:id="300111343">
                      <w:marLeft w:val="0"/>
                      <w:marRight w:val="0"/>
                      <w:marTop w:val="0"/>
                      <w:marBottom w:val="0"/>
                      <w:divBdr>
                        <w:top w:val="none" w:sz="0" w:space="0" w:color="auto"/>
                        <w:left w:val="none" w:sz="0" w:space="0" w:color="auto"/>
                        <w:bottom w:val="none" w:sz="0" w:space="0" w:color="auto"/>
                        <w:right w:val="none" w:sz="0" w:space="0" w:color="auto"/>
                      </w:divBdr>
                      <w:divsChild>
                        <w:div w:id="553195402">
                          <w:marLeft w:val="0"/>
                          <w:marRight w:val="0"/>
                          <w:marTop w:val="0"/>
                          <w:marBottom w:val="0"/>
                          <w:divBdr>
                            <w:top w:val="none" w:sz="0" w:space="0" w:color="auto"/>
                            <w:left w:val="none" w:sz="0" w:space="0" w:color="auto"/>
                            <w:bottom w:val="none" w:sz="0" w:space="0" w:color="auto"/>
                            <w:right w:val="none" w:sz="0" w:space="0" w:color="auto"/>
                          </w:divBdr>
                          <w:divsChild>
                            <w:div w:id="1177618680">
                              <w:marLeft w:val="0"/>
                              <w:marRight w:val="0"/>
                              <w:marTop w:val="0"/>
                              <w:marBottom w:val="0"/>
                              <w:divBdr>
                                <w:top w:val="none" w:sz="0" w:space="0" w:color="auto"/>
                                <w:left w:val="none" w:sz="0" w:space="0" w:color="auto"/>
                                <w:bottom w:val="none" w:sz="0" w:space="0" w:color="auto"/>
                                <w:right w:val="none" w:sz="0" w:space="0" w:color="auto"/>
                              </w:divBdr>
                              <w:divsChild>
                                <w:div w:id="78816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3773294">
      <w:bodyDiv w:val="1"/>
      <w:marLeft w:val="0"/>
      <w:marRight w:val="0"/>
      <w:marTop w:val="0"/>
      <w:marBottom w:val="0"/>
      <w:divBdr>
        <w:top w:val="none" w:sz="0" w:space="0" w:color="auto"/>
        <w:left w:val="none" w:sz="0" w:space="0" w:color="auto"/>
        <w:bottom w:val="none" w:sz="0" w:space="0" w:color="auto"/>
        <w:right w:val="none" w:sz="0" w:space="0" w:color="auto"/>
      </w:divBdr>
    </w:div>
    <w:div w:id="698897817">
      <w:bodyDiv w:val="1"/>
      <w:marLeft w:val="0"/>
      <w:marRight w:val="0"/>
      <w:marTop w:val="0"/>
      <w:marBottom w:val="0"/>
      <w:divBdr>
        <w:top w:val="none" w:sz="0" w:space="0" w:color="auto"/>
        <w:left w:val="none" w:sz="0" w:space="0" w:color="auto"/>
        <w:bottom w:val="none" w:sz="0" w:space="0" w:color="auto"/>
        <w:right w:val="none" w:sz="0" w:space="0" w:color="auto"/>
      </w:divBdr>
      <w:divsChild>
        <w:div w:id="288711224">
          <w:marLeft w:val="0"/>
          <w:marRight w:val="0"/>
          <w:marTop w:val="0"/>
          <w:marBottom w:val="0"/>
          <w:divBdr>
            <w:top w:val="none" w:sz="0" w:space="0" w:color="auto"/>
            <w:left w:val="none" w:sz="0" w:space="0" w:color="auto"/>
            <w:bottom w:val="none" w:sz="0" w:space="0" w:color="auto"/>
            <w:right w:val="none" w:sz="0" w:space="0" w:color="auto"/>
          </w:divBdr>
        </w:div>
      </w:divsChild>
    </w:div>
    <w:div w:id="712655505">
      <w:bodyDiv w:val="1"/>
      <w:marLeft w:val="0"/>
      <w:marRight w:val="0"/>
      <w:marTop w:val="0"/>
      <w:marBottom w:val="0"/>
      <w:divBdr>
        <w:top w:val="none" w:sz="0" w:space="0" w:color="auto"/>
        <w:left w:val="none" w:sz="0" w:space="0" w:color="auto"/>
        <w:bottom w:val="none" w:sz="0" w:space="0" w:color="auto"/>
        <w:right w:val="none" w:sz="0" w:space="0" w:color="auto"/>
      </w:divBdr>
      <w:divsChild>
        <w:div w:id="1975523844">
          <w:marLeft w:val="0"/>
          <w:marRight w:val="0"/>
          <w:marTop w:val="0"/>
          <w:marBottom w:val="0"/>
          <w:divBdr>
            <w:top w:val="none" w:sz="0" w:space="0" w:color="auto"/>
            <w:left w:val="none" w:sz="0" w:space="0" w:color="auto"/>
            <w:bottom w:val="none" w:sz="0" w:space="0" w:color="auto"/>
            <w:right w:val="none" w:sz="0" w:space="0" w:color="auto"/>
          </w:divBdr>
          <w:divsChild>
            <w:div w:id="588582816">
              <w:marLeft w:val="0"/>
              <w:marRight w:val="0"/>
              <w:marTop w:val="0"/>
              <w:marBottom w:val="0"/>
              <w:divBdr>
                <w:top w:val="none" w:sz="0" w:space="0" w:color="auto"/>
                <w:left w:val="none" w:sz="0" w:space="0" w:color="auto"/>
                <w:bottom w:val="none" w:sz="0" w:space="0" w:color="auto"/>
                <w:right w:val="none" w:sz="0" w:space="0" w:color="auto"/>
              </w:divBdr>
              <w:divsChild>
                <w:div w:id="735855378">
                  <w:marLeft w:val="0"/>
                  <w:marRight w:val="0"/>
                  <w:marTop w:val="0"/>
                  <w:marBottom w:val="0"/>
                  <w:divBdr>
                    <w:top w:val="none" w:sz="0" w:space="0" w:color="auto"/>
                    <w:left w:val="none" w:sz="0" w:space="0" w:color="auto"/>
                    <w:bottom w:val="none" w:sz="0" w:space="0" w:color="auto"/>
                    <w:right w:val="none" w:sz="0" w:space="0" w:color="auto"/>
                  </w:divBdr>
                  <w:divsChild>
                    <w:div w:id="1356151460">
                      <w:marLeft w:val="-225"/>
                      <w:marRight w:val="-225"/>
                      <w:marTop w:val="0"/>
                      <w:marBottom w:val="0"/>
                      <w:divBdr>
                        <w:top w:val="none" w:sz="0" w:space="0" w:color="auto"/>
                        <w:left w:val="none" w:sz="0" w:space="0" w:color="auto"/>
                        <w:bottom w:val="none" w:sz="0" w:space="0" w:color="auto"/>
                        <w:right w:val="none" w:sz="0" w:space="0" w:color="auto"/>
                      </w:divBdr>
                      <w:divsChild>
                        <w:div w:id="779689531">
                          <w:marLeft w:val="0"/>
                          <w:marRight w:val="0"/>
                          <w:marTop w:val="0"/>
                          <w:marBottom w:val="0"/>
                          <w:divBdr>
                            <w:top w:val="none" w:sz="0" w:space="0" w:color="auto"/>
                            <w:left w:val="none" w:sz="0" w:space="0" w:color="auto"/>
                            <w:bottom w:val="none" w:sz="0" w:space="0" w:color="auto"/>
                            <w:right w:val="none" w:sz="0" w:space="0" w:color="auto"/>
                          </w:divBdr>
                          <w:divsChild>
                            <w:div w:id="364906958">
                              <w:marLeft w:val="0"/>
                              <w:marRight w:val="0"/>
                              <w:marTop w:val="0"/>
                              <w:marBottom w:val="0"/>
                              <w:divBdr>
                                <w:top w:val="none" w:sz="0" w:space="0" w:color="auto"/>
                                <w:left w:val="none" w:sz="0" w:space="0" w:color="auto"/>
                                <w:bottom w:val="none" w:sz="0" w:space="0" w:color="auto"/>
                                <w:right w:val="none" w:sz="0" w:space="0" w:color="auto"/>
                              </w:divBdr>
                              <w:divsChild>
                                <w:div w:id="1132593700">
                                  <w:marLeft w:val="0"/>
                                  <w:marRight w:val="0"/>
                                  <w:marTop w:val="0"/>
                                  <w:marBottom w:val="0"/>
                                  <w:divBdr>
                                    <w:top w:val="none" w:sz="0" w:space="0" w:color="auto"/>
                                    <w:left w:val="none" w:sz="0" w:space="0" w:color="auto"/>
                                    <w:bottom w:val="none" w:sz="0" w:space="0" w:color="auto"/>
                                    <w:right w:val="none" w:sz="0" w:space="0" w:color="auto"/>
                                  </w:divBdr>
                                  <w:divsChild>
                                    <w:div w:id="1970502920">
                                      <w:marLeft w:val="0"/>
                                      <w:marRight w:val="0"/>
                                      <w:marTop w:val="0"/>
                                      <w:marBottom w:val="0"/>
                                      <w:divBdr>
                                        <w:top w:val="none" w:sz="0" w:space="0" w:color="auto"/>
                                        <w:left w:val="none" w:sz="0" w:space="0" w:color="auto"/>
                                        <w:bottom w:val="none" w:sz="0" w:space="0" w:color="auto"/>
                                        <w:right w:val="none" w:sz="0" w:space="0" w:color="auto"/>
                                      </w:divBdr>
                                      <w:divsChild>
                                        <w:div w:id="1766151744">
                                          <w:marLeft w:val="0"/>
                                          <w:marRight w:val="0"/>
                                          <w:marTop w:val="0"/>
                                          <w:marBottom w:val="0"/>
                                          <w:divBdr>
                                            <w:top w:val="none" w:sz="0" w:space="0" w:color="auto"/>
                                            <w:left w:val="none" w:sz="0" w:space="0" w:color="auto"/>
                                            <w:bottom w:val="none" w:sz="0" w:space="0" w:color="auto"/>
                                            <w:right w:val="none" w:sz="0" w:space="0" w:color="auto"/>
                                          </w:divBdr>
                                          <w:divsChild>
                                            <w:div w:id="1975410244">
                                              <w:marLeft w:val="0"/>
                                              <w:marRight w:val="0"/>
                                              <w:marTop w:val="0"/>
                                              <w:marBottom w:val="0"/>
                                              <w:divBdr>
                                                <w:top w:val="none" w:sz="0" w:space="0" w:color="auto"/>
                                                <w:left w:val="none" w:sz="0" w:space="0" w:color="auto"/>
                                                <w:bottom w:val="none" w:sz="0" w:space="0" w:color="auto"/>
                                                <w:right w:val="none" w:sz="0" w:space="0" w:color="auto"/>
                                              </w:divBdr>
                                              <w:divsChild>
                                                <w:div w:id="1891837390">
                                                  <w:marLeft w:val="0"/>
                                                  <w:marRight w:val="0"/>
                                                  <w:marTop w:val="0"/>
                                                  <w:marBottom w:val="0"/>
                                                  <w:divBdr>
                                                    <w:top w:val="none" w:sz="0" w:space="0" w:color="auto"/>
                                                    <w:left w:val="none" w:sz="0" w:space="0" w:color="auto"/>
                                                    <w:bottom w:val="none" w:sz="0" w:space="0" w:color="auto"/>
                                                    <w:right w:val="none" w:sz="0" w:space="0" w:color="auto"/>
                                                  </w:divBdr>
                                                  <w:divsChild>
                                                    <w:div w:id="1042367285">
                                                      <w:marLeft w:val="0"/>
                                                      <w:marRight w:val="0"/>
                                                      <w:marTop w:val="0"/>
                                                      <w:marBottom w:val="0"/>
                                                      <w:divBdr>
                                                        <w:top w:val="none" w:sz="0" w:space="0" w:color="auto"/>
                                                        <w:left w:val="none" w:sz="0" w:space="0" w:color="auto"/>
                                                        <w:bottom w:val="none" w:sz="0" w:space="0" w:color="auto"/>
                                                        <w:right w:val="none" w:sz="0" w:space="0" w:color="auto"/>
                                                      </w:divBdr>
                                                      <w:divsChild>
                                                        <w:div w:id="146560044">
                                                          <w:marLeft w:val="0"/>
                                                          <w:marRight w:val="0"/>
                                                          <w:marTop w:val="0"/>
                                                          <w:marBottom w:val="0"/>
                                                          <w:divBdr>
                                                            <w:top w:val="none" w:sz="0" w:space="0" w:color="auto"/>
                                                            <w:left w:val="none" w:sz="0" w:space="0" w:color="auto"/>
                                                            <w:bottom w:val="none" w:sz="0" w:space="0" w:color="auto"/>
                                                            <w:right w:val="none" w:sz="0" w:space="0" w:color="auto"/>
                                                          </w:divBdr>
                                                          <w:divsChild>
                                                            <w:div w:id="1744109755">
                                                              <w:marLeft w:val="0"/>
                                                              <w:marRight w:val="0"/>
                                                              <w:marTop w:val="0"/>
                                                              <w:marBottom w:val="0"/>
                                                              <w:divBdr>
                                                                <w:top w:val="none" w:sz="0" w:space="0" w:color="auto"/>
                                                                <w:left w:val="none" w:sz="0" w:space="0" w:color="auto"/>
                                                                <w:bottom w:val="none" w:sz="0" w:space="0" w:color="auto"/>
                                                                <w:right w:val="none" w:sz="0" w:space="0" w:color="auto"/>
                                                              </w:divBdr>
                                                              <w:divsChild>
                                                                <w:div w:id="198384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7095660">
      <w:bodyDiv w:val="1"/>
      <w:marLeft w:val="0"/>
      <w:marRight w:val="0"/>
      <w:marTop w:val="0"/>
      <w:marBottom w:val="0"/>
      <w:divBdr>
        <w:top w:val="none" w:sz="0" w:space="0" w:color="auto"/>
        <w:left w:val="none" w:sz="0" w:space="0" w:color="auto"/>
        <w:bottom w:val="none" w:sz="0" w:space="0" w:color="auto"/>
        <w:right w:val="none" w:sz="0" w:space="0" w:color="auto"/>
      </w:divBdr>
      <w:divsChild>
        <w:div w:id="156728480">
          <w:marLeft w:val="0"/>
          <w:marRight w:val="0"/>
          <w:marTop w:val="0"/>
          <w:marBottom w:val="0"/>
          <w:divBdr>
            <w:top w:val="none" w:sz="0" w:space="0" w:color="auto"/>
            <w:left w:val="none" w:sz="0" w:space="0" w:color="auto"/>
            <w:bottom w:val="none" w:sz="0" w:space="0" w:color="auto"/>
            <w:right w:val="none" w:sz="0" w:space="0" w:color="auto"/>
          </w:divBdr>
          <w:divsChild>
            <w:div w:id="1914896504">
              <w:marLeft w:val="-225"/>
              <w:marRight w:val="-225"/>
              <w:marTop w:val="0"/>
              <w:marBottom w:val="0"/>
              <w:divBdr>
                <w:top w:val="none" w:sz="0" w:space="0" w:color="auto"/>
                <w:left w:val="none" w:sz="0" w:space="0" w:color="auto"/>
                <w:bottom w:val="none" w:sz="0" w:space="0" w:color="auto"/>
                <w:right w:val="none" w:sz="0" w:space="0" w:color="auto"/>
              </w:divBdr>
              <w:divsChild>
                <w:div w:id="135634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625016">
      <w:marLeft w:val="0"/>
      <w:marRight w:val="0"/>
      <w:marTop w:val="0"/>
      <w:marBottom w:val="0"/>
      <w:divBdr>
        <w:top w:val="none" w:sz="0" w:space="0" w:color="auto"/>
        <w:left w:val="none" w:sz="0" w:space="0" w:color="auto"/>
        <w:bottom w:val="none" w:sz="0" w:space="0" w:color="auto"/>
        <w:right w:val="none" w:sz="0" w:space="0" w:color="auto"/>
      </w:divBdr>
      <w:divsChild>
        <w:div w:id="724329006">
          <w:marLeft w:val="0"/>
          <w:marRight w:val="0"/>
          <w:marTop w:val="0"/>
          <w:marBottom w:val="0"/>
          <w:divBdr>
            <w:top w:val="none" w:sz="0" w:space="0" w:color="auto"/>
            <w:left w:val="none" w:sz="0" w:space="0" w:color="auto"/>
            <w:bottom w:val="none" w:sz="0" w:space="0" w:color="auto"/>
            <w:right w:val="none" w:sz="0" w:space="0" w:color="auto"/>
          </w:divBdr>
          <w:divsChild>
            <w:div w:id="1162623521">
              <w:marLeft w:val="0"/>
              <w:marRight w:val="0"/>
              <w:marTop w:val="0"/>
              <w:marBottom w:val="0"/>
              <w:divBdr>
                <w:top w:val="none" w:sz="0" w:space="0" w:color="auto"/>
                <w:left w:val="none" w:sz="0" w:space="0" w:color="auto"/>
                <w:bottom w:val="none" w:sz="0" w:space="0" w:color="auto"/>
                <w:right w:val="none" w:sz="0" w:space="0" w:color="auto"/>
              </w:divBdr>
              <w:divsChild>
                <w:div w:id="549268361">
                  <w:marLeft w:val="0"/>
                  <w:marRight w:val="0"/>
                  <w:marTop w:val="0"/>
                  <w:marBottom w:val="0"/>
                  <w:divBdr>
                    <w:top w:val="none" w:sz="0" w:space="0" w:color="auto"/>
                    <w:left w:val="none" w:sz="0" w:space="0" w:color="auto"/>
                    <w:bottom w:val="none" w:sz="0" w:space="0" w:color="auto"/>
                    <w:right w:val="none" w:sz="0" w:space="0" w:color="auto"/>
                  </w:divBdr>
                  <w:divsChild>
                    <w:div w:id="660356852">
                      <w:marLeft w:val="0"/>
                      <w:marRight w:val="0"/>
                      <w:marTop w:val="0"/>
                      <w:marBottom w:val="0"/>
                      <w:divBdr>
                        <w:top w:val="none" w:sz="0" w:space="0" w:color="auto"/>
                        <w:left w:val="none" w:sz="0" w:space="0" w:color="auto"/>
                        <w:bottom w:val="none" w:sz="0" w:space="0" w:color="auto"/>
                        <w:right w:val="none" w:sz="0" w:space="0" w:color="auto"/>
                      </w:divBdr>
                      <w:divsChild>
                        <w:div w:id="2032877673">
                          <w:marLeft w:val="0"/>
                          <w:marRight w:val="0"/>
                          <w:marTop w:val="0"/>
                          <w:marBottom w:val="0"/>
                          <w:divBdr>
                            <w:top w:val="none" w:sz="0" w:space="0" w:color="auto"/>
                            <w:left w:val="none" w:sz="0" w:space="0" w:color="auto"/>
                            <w:bottom w:val="none" w:sz="0" w:space="0" w:color="auto"/>
                            <w:right w:val="none" w:sz="0" w:space="0" w:color="auto"/>
                          </w:divBdr>
                          <w:divsChild>
                            <w:div w:id="19597612">
                              <w:marLeft w:val="0"/>
                              <w:marRight w:val="0"/>
                              <w:marTop w:val="0"/>
                              <w:marBottom w:val="0"/>
                              <w:divBdr>
                                <w:top w:val="none" w:sz="0" w:space="0" w:color="auto"/>
                                <w:left w:val="none" w:sz="0" w:space="0" w:color="auto"/>
                                <w:bottom w:val="none" w:sz="0" w:space="0" w:color="auto"/>
                                <w:right w:val="none" w:sz="0" w:space="0" w:color="auto"/>
                              </w:divBdr>
                              <w:divsChild>
                                <w:div w:id="739408905">
                                  <w:marLeft w:val="0"/>
                                  <w:marRight w:val="0"/>
                                  <w:marTop w:val="0"/>
                                  <w:marBottom w:val="0"/>
                                  <w:divBdr>
                                    <w:top w:val="none" w:sz="0" w:space="0" w:color="auto"/>
                                    <w:left w:val="none" w:sz="0" w:space="0" w:color="auto"/>
                                    <w:bottom w:val="none" w:sz="0" w:space="0" w:color="auto"/>
                                    <w:right w:val="none" w:sz="0" w:space="0" w:color="auto"/>
                                  </w:divBdr>
                                  <w:divsChild>
                                    <w:div w:id="1692678649">
                                      <w:marLeft w:val="0"/>
                                      <w:marRight w:val="0"/>
                                      <w:marTop w:val="0"/>
                                      <w:marBottom w:val="0"/>
                                      <w:divBdr>
                                        <w:top w:val="none" w:sz="0" w:space="0" w:color="auto"/>
                                        <w:left w:val="none" w:sz="0" w:space="0" w:color="auto"/>
                                        <w:bottom w:val="none" w:sz="0" w:space="0" w:color="auto"/>
                                        <w:right w:val="none" w:sz="0" w:space="0" w:color="auto"/>
                                      </w:divBdr>
                                      <w:divsChild>
                                        <w:div w:id="717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0791848">
      <w:bodyDiv w:val="1"/>
      <w:marLeft w:val="0"/>
      <w:marRight w:val="0"/>
      <w:marTop w:val="0"/>
      <w:marBottom w:val="0"/>
      <w:divBdr>
        <w:top w:val="none" w:sz="0" w:space="0" w:color="auto"/>
        <w:left w:val="none" w:sz="0" w:space="0" w:color="auto"/>
        <w:bottom w:val="none" w:sz="0" w:space="0" w:color="auto"/>
        <w:right w:val="none" w:sz="0" w:space="0" w:color="auto"/>
      </w:divBdr>
      <w:divsChild>
        <w:div w:id="589698355">
          <w:marLeft w:val="0"/>
          <w:marRight w:val="0"/>
          <w:marTop w:val="0"/>
          <w:marBottom w:val="0"/>
          <w:divBdr>
            <w:top w:val="none" w:sz="0" w:space="0" w:color="auto"/>
            <w:left w:val="none" w:sz="0" w:space="0" w:color="auto"/>
            <w:bottom w:val="none" w:sz="0" w:space="0" w:color="auto"/>
            <w:right w:val="none" w:sz="0" w:space="0" w:color="auto"/>
          </w:divBdr>
          <w:divsChild>
            <w:div w:id="1477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874906">
      <w:bodyDiv w:val="1"/>
      <w:marLeft w:val="0"/>
      <w:marRight w:val="0"/>
      <w:marTop w:val="0"/>
      <w:marBottom w:val="0"/>
      <w:divBdr>
        <w:top w:val="none" w:sz="0" w:space="0" w:color="auto"/>
        <w:left w:val="none" w:sz="0" w:space="0" w:color="auto"/>
        <w:bottom w:val="none" w:sz="0" w:space="0" w:color="auto"/>
        <w:right w:val="none" w:sz="0" w:space="0" w:color="auto"/>
      </w:divBdr>
      <w:divsChild>
        <w:div w:id="876891979">
          <w:marLeft w:val="0"/>
          <w:marRight w:val="0"/>
          <w:marTop w:val="0"/>
          <w:marBottom w:val="0"/>
          <w:divBdr>
            <w:top w:val="none" w:sz="0" w:space="0" w:color="auto"/>
            <w:left w:val="none" w:sz="0" w:space="0" w:color="auto"/>
            <w:bottom w:val="none" w:sz="0" w:space="0" w:color="auto"/>
            <w:right w:val="none" w:sz="0" w:space="0" w:color="auto"/>
          </w:divBdr>
          <w:divsChild>
            <w:div w:id="358286915">
              <w:marLeft w:val="0"/>
              <w:marRight w:val="0"/>
              <w:marTop w:val="0"/>
              <w:marBottom w:val="0"/>
              <w:divBdr>
                <w:top w:val="none" w:sz="0" w:space="0" w:color="auto"/>
                <w:left w:val="none" w:sz="0" w:space="0" w:color="auto"/>
                <w:bottom w:val="none" w:sz="0" w:space="0" w:color="auto"/>
                <w:right w:val="none" w:sz="0" w:space="0" w:color="auto"/>
              </w:divBdr>
              <w:divsChild>
                <w:div w:id="1152326992">
                  <w:marLeft w:val="0"/>
                  <w:marRight w:val="0"/>
                  <w:marTop w:val="0"/>
                  <w:marBottom w:val="0"/>
                  <w:divBdr>
                    <w:top w:val="none" w:sz="0" w:space="0" w:color="auto"/>
                    <w:left w:val="none" w:sz="0" w:space="0" w:color="auto"/>
                    <w:bottom w:val="none" w:sz="0" w:space="0" w:color="auto"/>
                    <w:right w:val="none" w:sz="0" w:space="0" w:color="auto"/>
                  </w:divBdr>
                </w:div>
              </w:divsChild>
            </w:div>
            <w:div w:id="105940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567089">
      <w:bodyDiv w:val="1"/>
      <w:marLeft w:val="0"/>
      <w:marRight w:val="0"/>
      <w:marTop w:val="0"/>
      <w:marBottom w:val="0"/>
      <w:divBdr>
        <w:top w:val="none" w:sz="0" w:space="0" w:color="auto"/>
        <w:left w:val="none" w:sz="0" w:space="0" w:color="auto"/>
        <w:bottom w:val="none" w:sz="0" w:space="0" w:color="auto"/>
        <w:right w:val="none" w:sz="0" w:space="0" w:color="auto"/>
      </w:divBdr>
    </w:div>
    <w:div w:id="725761261">
      <w:bodyDiv w:val="1"/>
      <w:marLeft w:val="0"/>
      <w:marRight w:val="0"/>
      <w:marTop w:val="0"/>
      <w:marBottom w:val="0"/>
      <w:divBdr>
        <w:top w:val="none" w:sz="0" w:space="0" w:color="auto"/>
        <w:left w:val="none" w:sz="0" w:space="0" w:color="auto"/>
        <w:bottom w:val="none" w:sz="0" w:space="0" w:color="auto"/>
        <w:right w:val="none" w:sz="0" w:space="0" w:color="auto"/>
      </w:divBdr>
      <w:divsChild>
        <w:div w:id="1415741186">
          <w:marLeft w:val="0"/>
          <w:marRight w:val="0"/>
          <w:marTop w:val="0"/>
          <w:marBottom w:val="0"/>
          <w:divBdr>
            <w:top w:val="none" w:sz="0" w:space="0" w:color="auto"/>
            <w:left w:val="none" w:sz="0" w:space="0" w:color="auto"/>
            <w:bottom w:val="none" w:sz="0" w:space="0" w:color="auto"/>
            <w:right w:val="none" w:sz="0" w:space="0" w:color="auto"/>
          </w:divBdr>
          <w:divsChild>
            <w:div w:id="21325179">
              <w:marLeft w:val="0"/>
              <w:marRight w:val="0"/>
              <w:marTop w:val="0"/>
              <w:marBottom w:val="0"/>
              <w:divBdr>
                <w:top w:val="none" w:sz="0" w:space="0" w:color="auto"/>
                <w:left w:val="none" w:sz="0" w:space="0" w:color="auto"/>
                <w:bottom w:val="none" w:sz="0" w:space="0" w:color="auto"/>
                <w:right w:val="none" w:sz="0" w:space="0" w:color="auto"/>
              </w:divBdr>
              <w:divsChild>
                <w:div w:id="1685130524">
                  <w:marLeft w:val="0"/>
                  <w:marRight w:val="0"/>
                  <w:marTop w:val="0"/>
                  <w:marBottom w:val="0"/>
                  <w:divBdr>
                    <w:top w:val="none" w:sz="0" w:space="0" w:color="auto"/>
                    <w:left w:val="none" w:sz="0" w:space="0" w:color="auto"/>
                    <w:bottom w:val="none" w:sz="0" w:space="0" w:color="auto"/>
                    <w:right w:val="none" w:sz="0" w:space="0" w:color="auto"/>
                  </w:divBdr>
                  <w:divsChild>
                    <w:div w:id="724522950">
                      <w:marLeft w:val="0"/>
                      <w:marRight w:val="0"/>
                      <w:marTop w:val="0"/>
                      <w:marBottom w:val="0"/>
                      <w:divBdr>
                        <w:top w:val="none" w:sz="0" w:space="0" w:color="auto"/>
                        <w:left w:val="none" w:sz="0" w:space="0" w:color="auto"/>
                        <w:bottom w:val="none" w:sz="0" w:space="0" w:color="auto"/>
                        <w:right w:val="none" w:sz="0" w:space="0" w:color="auto"/>
                      </w:divBdr>
                      <w:divsChild>
                        <w:div w:id="972905209">
                          <w:marLeft w:val="0"/>
                          <w:marRight w:val="0"/>
                          <w:marTop w:val="0"/>
                          <w:marBottom w:val="0"/>
                          <w:divBdr>
                            <w:top w:val="none" w:sz="0" w:space="0" w:color="auto"/>
                            <w:left w:val="none" w:sz="0" w:space="0" w:color="auto"/>
                            <w:bottom w:val="none" w:sz="0" w:space="0" w:color="auto"/>
                            <w:right w:val="none" w:sz="0" w:space="0" w:color="auto"/>
                          </w:divBdr>
                          <w:divsChild>
                            <w:div w:id="278336618">
                              <w:marLeft w:val="0"/>
                              <w:marRight w:val="0"/>
                              <w:marTop w:val="0"/>
                              <w:marBottom w:val="0"/>
                              <w:divBdr>
                                <w:top w:val="none" w:sz="0" w:space="0" w:color="auto"/>
                                <w:left w:val="none" w:sz="0" w:space="0" w:color="auto"/>
                                <w:bottom w:val="none" w:sz="0" w:space="0" w:color="auto"/>
                                <w:right w:val="none" w:sz="0" w:space="0" w:color="auto"/>
                              </w:divBdr>
                              <w:divsChild>
                                <w:div w:id="33095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9377711">
      <w:bodyDiv w:val="1"/>
      <w:marLeft w:val="0"/>
      <w:marRight w:val="0"/>
      <w:marTop w:val="0"/>
      <w:marBottom w:val="0"/>
      <w:divBdr>
        <w:top w:val="none" w:sz="0" w:space="0" w:color="auto"/>
        <w:left w:val="none" w:sz="0" w:space="0" w:color="auto"/>
        <w:bottom w:val="none" w:sz="0" w:space="0" w:color="auto"/>
        <w:right w:val="none" w:sz="0" w:space="0" w:color="auto"/>
      </w:divBdr>
    </w:div>
    <w:div w:id="738403844">
      <w:bodyDiv w:val="1"/>
      <w:marLeft w:val="0"/>
      <w:marRight w:val="0"/>
      <w:marTop w:val="0"/>
      <w:marBottom w:val="0"/>
      <w:divBdr>
        <w:top w:val="none" w:sz="0" w:space="0" w:color="auto"/>
        <w:left w:val="none" w:sz="0" w:space="0" w:color="auto"/>
        <w:bottom w:val="none" w:sz="0" w:space="0" w:color="auto"/>
        <w:right w:val="none" w:sz="0" w:space="0" w:color="auto"/>
      </w:divBdr>
    </w:div>
    <w:div w:id="739136784">
      <w:bodyDiv w:val="1"/>
      <w:marLeft w:val="0"/>
      <w:marRight w:val="0"/>
      <w:marTop w:val="0"/>
      <w:marBottom w:val="0"/>
      <w:divBdr>
        <w:top w:val="none" w:sz="0" w:space="0" w:color="auto"/>
        <w:left w:val="none" w:sz="0" w:space="0" w:color="auto"/>
        <w:bottom w:val="none" w:sz="0" w:space="0" w:color="auto"/>
        <w:right w:val="none" w:sz="0" w:space="0" w:color="auto"/>
      </w:divBdr>
    </w:div>
    <w:div w:id="742140016">
      <w:bodyDiv w:val="1"/>
      <w:marLeft w:val="0"/>
      <w:marRight w:val="0"/>
      <w:marTop w:val="0"/>
      <w:marBottom w:val="0"/>
      <w:divBdr>
        <w:top w:val="none" w:sz="0" w:space="0" w:color="auto"/>
        <w:left w:val="none" w:sz="0" w:space="0" w:color="auto"/>
        <w:bottom w:val="none" w:sz="0" w:space="0" w:color="auto"/>
        <w:right w:val="none" w:sz="0" w:space="0" w:color="auto"/>
      </w:divBdr>
      <w:divsChild>
        <w:div w:id="2001229976">
          <w:marLeft w:val="0"/>
          <w:marRight w:val="0"/>
          <w:marTop w:val="0"/>
          <w:marBottom w:val="0"/>
          <w:divBdr>
            <w:top w:val="none" w:sz="0" w:space="0" w:color="auto"/>
            <w:left w:val="none" w:sz="0" w:space="0" w:color="auto"/>
            <w:bottom w:val="none" w:sz="0" w:space="0" w:color="auto"/>
            <w:right w:val="none" w:sz="0" w:space="0" w:color="auto"/>
          </w:divBdr>
          <w:divsChild>
            <w:div w:id="865216391">
              <w:marLeft w:val="0"/>
              <w:marRight w:val="0"/>
              <w:marTop w:val="0"/>
              <w:marBottom w:val="0"/>
              <w:divBdr>
                <w:top w:val="none" w:sz="0" w:space="0" w:color="auto"/>
                <w:left w:val="none" w:sz="0" w:space="0" w:color="auto"/>
                <w:bottom w:val="none" w:sz="0" w:space="0" w:color="auto"/>
                <w:right w:val="none" w:sz="0" w:space="0" w:color="auto"/>
              </w:divBdr>
              <w:divsChild>
                <w:div w:id="1584414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742988596">
      <w:bodyDiv w:val="1"/>
      <w:marLeft w:val="0"/>
      <w:marRight w:val="0"/>
      <w:marTop w:val="0"/>
      <w:marBottom w:val="0"/>
      <w:divBdr>
        <w:top w:val="none" w:sz="0" w:space="0" w:color="auto"/>
        <w:left w:val="none" w:sz="0" w:space="0" w:color="auto"/>
        <w:bottom w:val="none" w:sz="0" w:space="0" w:color="auto"/>
        <w:right w:val="none" w:sz="0" w:space="0" w:color="auto"/>
      </w:divBdr>
    </w:div>
    <w:div w:id="751046440">
      <w:bodyDiv w:val="1"/>
      <w:marLeft w:val="0"/>
      <w:marRight w:val="0"/>
      <w:marTop w:val="0"/>
      <w:marBottom w:val="0"/>
      <w:divBdr>
        <w:top w:val="none" w:sz="0" w:space="0" w:color="auto"/>
        <w:left w:val="none" w:sz="0" w:space="0" w:color="auto"/>
        <w:bottom w:val="none" w:sz="0" w:space="0" w:color="auto"/>
        <w:right w:val="none" w:sz="0" w:space="0" w:color="auto"/>
      </w:divBdr>
      <w:divsChild>
        <w:div w:id="1084645781">
          <w:marLeft w:val="0"/>
          <w:marRight w:val="0"/>
          <w:marTop w:val="100"/>
          <w:marBottom w:val="100"/>
          <w:divBdr>
            <w:top w:val="none" w:sz="0" w:space="0" w:color="auto"/>
            <w:left w:val="none" w:sz="0" w:space="0" w:color="auto"/>
            <w:bottom w:val="none" w:sz="0" w:space="0" w:color="auto"/>
            <w:right w:val="none" w:sz="0" w:space="0" w:color="auto"/>
          </w:divBdr>
          <w:divsChild>
            <w:div w:id="929049925">
              <w:marLeft w:val="0"/>
              <w:marRight w:val="0"/>
              <w:marTop w:val="0"/>
              <w:marBottom w:val="0"/>
              <w:divBdr>
                <w:top w:val="none" w:sz="0" w:space="0" w:color="auto"/>
                <w:left w:val="none" w:sz="0" w:space="0" w:color="auto"/>
                <w:bottom w:val="none" w:sz="0" w:space="0" w:color="auto"/>
                <w:right w:val="none" w:sz="0" w:space="0" w:color="auto"/>
              </w:divBdr>
              <w:divsChild>
                <w:div w:id="1765539984">
                  <w:marLeft w:val="0"/>
                  <w:marRight w:val="0"/>
                  <w:marTop w:val="100"/>
                  <w:marBottom w:val="100"/>
                  <w:divBdr>
                    <w:top w:val="none" w:sz="0" w:space="0" w:color="auto"/>
                    <w:left w:val="none" w:sz="0" w:space="0" w:color="auto"/>
                    <w:bottom w:val="none" w:sz="0" w:space="0" w:color="auto"/>
                    <w:right w:val="none" w:sz="0" w:space="0" w:color="auto"/>
                  </w:divBdr>
                  <w:divsChild>
                    <w:div w:id="264925775">
                      <w:marLeft w:val="0"/>
                      <w:marRight w:val="0"/>
                      <w:marTop w:val="0"/>
                      <w:marBottom w:val="0"/>
                      <w:divBdr>
                        <w:top w:val="none" w:sz="0" w:space="0" w:color="auto"/>
                        <w:left w:val="none" w:sz="0" w:space="0" w:color="auto"/>
                        <w:bottom w:val="none" w:sz="0" w:space="0" w:color="auto"/>
                        <w:right w:val="none" w:sz="0" w:space="0" w:color="auto"/>
                      </w:divBdr>
                    </w:div>
                  </w:divsChild>
                </w:div>
                <w:div w:id="2118215427">
                  <w:marLeft w:val="0"/>
                  <w:marRight w:val="0"/>
                  <w:marTop w:val="100"/>
                  <w:marBottom w:val="100"/>
                  <w:divBdr>
                    <w:top w:val="none" w:sz="0" w:space="0" w:color="auto"/>
                    <w:left w:val="none" w:sz="0" w:space="0" w:color="auto"/>
                    <w:bottom w:val="none" w:sz="0" w:space="0" w:color="auto"/>
                    <w:right w:val="none" w:sz="0" w:space="0" w:color="auto"/>
                  </w:divBdr>
                  <w:divsChild>
                    <w:div w:id="216163358">
                      <w:marLeft w:val="0"/>
                      <w:marRight w:val="0"/>
                      <w:marTop w:val="0"/>
                      <w:marBottom w:val="0"/>
                      <w:divBdr>
                        <w:top w:val="none" w:sz="0" w:space="0" w:color="auto"/>
                        <w:left w:val="none" w:sz="0" w:space="0" w:color="auto"/>
                        <w:bottom w:val="none" w:sz="0" w:space="0" w:color="auto"/>
                        <w:right w:val="none" w:sz="0" w:space="0" w:color="auto"/>
                      </w:divBdr>
                    </w:div>
                  </w:divsChild>
                </w:div>
                <w:div w:id="1393504070">
                  <w:marLeft w:val="0"/>
                  <w:marRight w:val="0"/>
                  <w:marTop w:val="100"/>
                  <w:marBottom w:val="100"/>
                  <w:divBdr>
                    <w:top w:val="none" w:sz="0" w:space="0" w:color="auto"/>
                    <w:left w:val="none" w:sz="0" w:space="0" w:color="auto"/>
                    <w:bottom w:val="none" w:sz="0" w:space="0" w:color="auto"/>
                    <w:right w:val="none" w:sz="0" w:space="0" w:color="auto"/>
                  </w:divBdr>
                  <w:divsChild>
                    <w:div w:id="3986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951065">
          <w:marLeft w:val="0"/>
          <w:marRight w:val="0"/>
          <w:marTop w:val="0"/>
          <w:marBottom w:val="0"/>
          <w:divBdr>
            <w:top w:val="none" w:sz="0" w:space="0" w:color="auto"/>
            <w:left w:val="none" w:sz="0" w:space="0" w:color="auto"/>
            <w:bottom w:val="none" w:sz="0" w:space="0" w:color="auto"/>
            <w:right w:val="none" w:sz="0" w:space="0" w:color="auto"/>
          </w:divBdr>
          <w:divsChild>
            <w:div w:id="96562550">
              <w:marLeft w:val="0"/>
              <w:marRight w:val="0"/>
              <w:marTop w:val="0"/>
              <w:marBottom w:val="0"/>
              <w:divBdr>
                <w:top w:val="none" w:sz="0" w:space="0" w:color="auto"/>
                <w:left w:val="none" w:sz="0" w:space="0" w:color="auto"/>
                <w:bottom w:val="none" w:sz="0" w:space="0" w:color="auto"/>
                <w:right w:val="none" w:sz="0" w:space="0" w:color="auto"/>
              </w:divBdr>
              <w:divsChild>
                <w:div w:id="1021398926">
                  <w:marLeft w:val="0"/>
                  <w:marRight w:val="0"/>
                  <w:marTop w:val="0"/>
                  <w:marBottom w:val="0"/>
                  <w:divBdr>
                    <w:top w:val="none" w:sz="0" w:space="0" w:color="auto"/>
                    <w:left w:val="none" w:sz="0" w:space="0" w:color="auto"/>
                    <w:bottom w:val="single" w:sz="6" w:space="4" w:color="808080"/>
                    <w:right w:val="none" w:sz="0" w:space="0" w:color="auto"/>
                  </w:divBdr>
                </w:div>
                <w:div w:id="629357065">
                  <w:marLeft w:val="150"/>
                  <w:marRight w:val="150"/>
                  <w:marTop w:val="300"/>
                  <w:marBottom w:val="150"/>
                  <w:divBdr>
                    <w:top w:val="none" w:sz="0" w:space="0" w:color="auto"/>
                    <w:left w:val="none" w:sz="0" w:space="0" w:color="auto"/>
                    <w:bottom w:val="none" w:sz="0" w:space="0" w:color="auto"/>
                    <w:right w:val="none" w:sz="0" w:space="0" w:color="auto"/>
                  </w:divBdr>
                </w:div>
              </w:divsChild>
            </w:div>
            <w:div w:id="169103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047479">
      <w:bodyDiv w:val="1"/>
      <w:marLeft w:val="0"/>
      <w:marRight w:val="0"/>
      <w:marTop w:val="0"/>
      <w:marBottom w:val="0"/>
      <w:divBdr>
        <w:top w:val="none" w:sz="0" w:space="0" w:color="auto"/>
        <w:left w:val="none" w:sz="0" w:space="0" w:color="auto"/>
        <w:bottom w:val="none" w:sz="0" w:space="0" w:color="auto"/>
        <w:right w:val="none" w:sz="0" w:space="0" w:color="auto"/>
      </w:divBdr>
    </w:div>
    <w:div w:id="754017490">
      <w:marLeft w:val="0"/>
      <w:marRight w:val="0"/>
      <w:marTop w:val="0"/>
      <w:marBottom w:val="0"/>
      <w:divBdr>
        <w:top w:val="none" w:sz="0" w:space="0" w:color="auto"/>
        <w:left w:val="none" w:sz="0" w:space="0" w:color="auto"/>
        <w:bottom w:val="none" w:sz="0" w:space="0" w:color="auto"/>
        <w:right w:val="none" w:sz="0" w:space="0" w:color="auto"/>
      </w:divBdr>
      <w:divsChild>
        <w:div w:id="1584801919">
          <w:marLeft w:val="0"/>
          <w:marRight w:val="0"/>
          <w:marTop w:val="0"/>
          <w:marBottom w:val="0"/>
          <w:divBdr>
            <w:top w:val="none" w:sz="0" w:space="0" w:color="auto"/>
            <w:left w:val="none" w:sz="0" w:space="0" w:color="auto"/>
            <w:bottom w:val="none" w:sz="0" w:space="0" w:color="auto"/>
            <w:right w:val="none" w:sz="0" w:space="0" w:color="auto"/>
          </w:divBdr>
        </w:div>
        <w:div w:id="739862920">
          <w:marLeft w:val="0"/>
          <w:marRight w:val="0"/>
          <w:marTop w:val="0"/>
          <w:marBottom w:val="0"/>
          <w:divBdr>
            <w:top w:val="none" w:sz="0" w:space="0" w:color="auto"/>
            <w:left w:val="none" w:sz="0" w:space="0" w:color="auto"/>
            <w:bottom w:val="none" w:sz="0" w:space="0" w:color="auto"/>
            <w:right w:val="none" w:sz="0" w:space="0" w:color="auto"/>
          </w:divBdr>
        </w:div>
        <w:div w:id="856189252">
          <w:marLeft w:val="0"/>
          <w:marRight w:val="0"/>
          <w:marTop w:val="0"/>
          <w:marBottom w:val="0"/>
          <w:divBdr>
            <w:top w:val="none" w:sz="0" w:space="0" w:color="auto"/>
            <w:left w:val="none" w:sz="0" w:space="0" w:color="auto"/>
            <w:bottom w:val="none" w:sz="0" w:space="0" w:color="auto"/>
            <w:right w:val="none" w:sz="0" w:space="0" w:color="auto"/>
          </w:divBdr>
        </w:div>
        <w:div w:id="1322780343">
          <w:marLeft w:val="0"/>
          <w:marRight w:val="0"/>
          <w:marTop w:val="0"/>
          <w:marBottom w:val="0"/>
          <w:divBdr>
            <w:top w:val="none" w:sz="0" w:space="0" w:color="auto"/>
            <w:left w:val="none" w:sz="0" w:space="0" w:color="auto"/>
            <w:bottom w:val="none" w:sz="0" w:space="0" w:color="auto"/>
            <w:right w:val="none" w:sz="0" w:space="0" w:color="auto"/>
          </w:divBdr>
          <w:divsChild>
            <w:div w:id="1543862359">
              <w:marLeft w:val="0"/>
              <w:marRight w:val="0"/>
              <w:marTop w:val="0"/>
              <w:marBottom w:val="0"/>
              <w:divBdr>
                <w:top w:val="none" w:sz="0" w:space="0" w:color="auto"/>
                <w:left w:val="none" w:sz="0" w:space="0" w:color="auto"/>
                <w:bottom w:val="none" w:sz="0" w:space="0" w:color="auto"/>
                <w:right w:val="none" w:sz="0" w:space="0" w:color="auto"/>
              </w:divBdr>
              <w:divsChild>
                <w:div w:id="1937446250">
                  <w:marLeft w:val="0"/>
                  <w:marRight w:val="0"/>
                  <w:marTop w:val="0"/>
                  <w:marBottom w:val="0"/>
                  <w:divBdr>
                    <w:top w:val="none" w:sz="0" w:space="0" w:color="auto"/>
                    <w:left w:val="none" w:sz="0" w:space="0" w:color="auto"/>
                    <w:bottom w:val="none" w:sz="0" w:space="0" w:color="auto"/>
                    <w:right w:val="none" w:sz="0" w:space="0" w:color="auto"/>
                  </w:divBdr>
                </w:div>
                <w:div w:id="61127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890970">
          <w:marLeft w:val="0"/>
          <w:marRight w:val="0"/>
          <w:marTop w:val="0"/>
          <w:marBottom w:val="0"/>
          <w:divBdr>
            <w:top w:val="none" w:sz="0" w:space="0" w:color="auto"/>
            <w:left w:val="none" w:sz="0" w:space="0" w:color="auto"/>
            <w:bottom w:val="none" w:sz="0" w:space="0" w:color="auto"/>
            <w:right w:val="none" w:sz="0" w:space="0" w:color="auto"/>
          </w:divBdr>
          <w:divsChild>
            <w:div w:id="1369138533">
              <w:marLeft w:val="0"/>
              <w:marRight w:val="0"/>
              <w:marTop w:val="0"/>
              <w:marBottom w:val="0"/>
              <w:divBdr>
                <w:top w:val="none" w:sz="0" w:space="0" w:color="auto"/>
                <w:left w:val="none" w:sz="0" w:space="0" w:color="auto"/>
                <w:bottom w:val="none" w:sz="0" w:space="0" w:color="auto"/>
                <w:right w:val="none" w:sz="0" w:space="0" w:color="auto"/>
              </w:divBdr>
              <w:divsChild>
                <w:div w:id="509217501">
                  <w:marLeft w:val="0"/>
                  <w:marRight w:val="0"/>
                  <w:marTop w:val="0"/>
                  <w:marBottom w:val="0"/>
                  <w:divBdr>
                    <w:top w:val="none" w:sz="0" w:space="0" w:color="auto"/>
                    <w:left w:val="none" w:sz="0" w:space="0" w:color="auto"/>
                    <w:bottom w:val="none" w:sz="0" w:space="0" w:color="auto"/>
                    <w:right w:val="none" w:sz="0" w:space="0" w:color="auto"/>
                  </w:divBdr>
                </w:div>
                <w:div w:id="1341811334">
                  <w:marLeft w:val="0"/>
                  <w:marRight w:val="0"/>
                  <w:marTop w:val="0"/>
                  <w:marBottom w:val="0"/>
                  <w:divBdr>
                    <w:top w:val="none" w:sz="0" w:space="0" w:color="auto"/>
                    <w:left w:val="none" w:sz="0" w:space="0" w:color="auto"/>
                    <w:bottom w:val="none" w:sz="0" w:space="0" w:color="auto"/>
                    <w:right w:val="none" w:sz="0" w:space="0" w:color="auto"/>
                  </w:divBdr>
                </w:div>
                <w:div w:id="114847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667967">
          <w:marLeft w:val="0"/>
          <w:marRight w:val="0"/>
          <w:marTop w:val="0"/>
          <w:marBottom w:val="0"/>
          <w:divBdr>
            <w:top w:val="none" w:sz="0" w:space="0" w:color="auto"/>
            <w:left w:val="none" w:sz="0" w:space="0" w:color="auto"/>
            <w:bottom w:val="none" w:sz="0" w:space="0" w:color="auto"/>
            <w:right w:val="none" w:sz="0" w:space="0" w:color="auto"/>
          </w:divBdr>
          <w:divsChild>
            <w:div w:id="1331254068">
              <w:marLeft w:val="0"/>
              <w:marRight w:val="0"/>
              <w:marTop w:val="0"/>
              <w:marBottom w:val="0"/>
              <w:divBdr>
                <w:top w:val="none" w:sz="0" w:space="0" w:color="auto"/>
                <w:left w:val="none" w:sz="0" w:space="0" w:color="auto"/>
                <w:bottom w:val="none" w:sz="0" w:space="0" w:color="auto"/>
                <w:right w:val="none" w:sz="0" w:space="0" w:color="auto"/>
              </w:divBdr>
              <w:divsChild>
                <w:div w:id="1850681840">
                  <w:marLeft w:val="0"/>
                  <w:marRight w:val="0"/>
                  <w:marTop w:val="0"/>
                  <w:marBottom w:val="0"/>
                  <w:divBdr>
                    <w:top w:val="none" w:sz="0" w:space="0" w:color="auto"/>
                    <w:left w:val="none" w:sz="0" w:space="0" w:color="auto"/>
                    <w:bottom w:val="none" w:sz="0" w:space="0" w:color="auto"/>
                    <w:right w:val="none" w:sz="0" w:space="0" w:color="auto"/>
                  </w:divBdr>
                </w:div>
                <w:div w:id="199748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184285">
      <w:bodyDiv w:val="1"/>
      <w:marLeft w:val="0"/>
      <w:marRight w:val="0"/>
      <w:marTop w:val="0"/>
      <w:marBottom w:val="0"/>
      <w:divBdr>
        <w:top w:val="none" w:sz="0" w:space="0" w:color="auto"/>
        <w:left w:val="none" w:sz="0" w:space="0" w:color="auto"/>
        <w:bottom w:val="none" w:sz="0" w:space="0" w:color="auto"/>
        <w:right w:val="none" w:sz="0" w:space="0" w:color="auto"/>
      </w:divBdr>
    </w:div>
    <w:div w:id="759571125">
      <w:bodyDiv w:val="1"/>
      <w:marLeft w:val="0"/>
      <w:marRight w:val="0"/>
      <w:marTop w:val="0"/>
      <w:marBottom w:val="0"/>
      <w:divBdr>
        <w:top w:val="none" w:sz="0" w:space="0" w:color="auto"/>
        <w:left w:val="none" w:sz="0" w:space="0" w:color="auto"/>
        <w:bottom w:val="none" w:sz="0" w:space="0" w:color="auto"/>
        <w:right w:val="none" w:sz="0" w:space="0" w:color="auto"/>
      </w:divBdr>
    </w:div>
    <w:div w:id="771244519">
      <w:bodyDiv w:val="1"/>
      <w:marLeft w:val="0"/>
      <w:marRight w:val="0"/>
      <w:marTop w:val="0"/>
      <w:marBottom w:val="0"/>
      <w:divBdr>
        <w:top w:val="none" w:sz="0" w:space="0" w:color="auto"/>
        <w:left w:val="none" w:sz="0" w:space="0" w:color="auto"/>
        <w:bottom w:val="none" w:sz="0" w:space="0" w:color="auto"/>
        <w:right w:val="none" w:sz="0" w:space="0" w:color="auto"/>
      </w:divBdr>
    </w:div>
    <w:div w:id="772554910">
      <w:bodyDiv w:val="1"/>
      <w:marLeft w:val="0"/>
      <w:marRight w:val="0"/>
      <w:marTop w:val="0"/>
      <w:marBottom w:val="0"/>
      <w:divBdr>
        <w:top w:val="none" w:sz="0" w:space="0" w:color="auto"/>
        <w:left w:val="none" w:sz="0" w:space="0" w:color="auto"/>
        <w:bottom w:val="none" w:sz="0" w:space="0" w:color="auto"/>
        <w:right w:val="none" w:sz="0" w:space="0" w:color="auto"/>
      </w:divBdr>
    </w:div>
    <w:div w:id="783233600">
      <w:bodyDiv w:val="1"/>
      <w:marLeft w:val="0"/>
      <w:marRight w:val="0"/>
      <w:marTop w:val="0"/>
      <w:marBottom w:val="0"/>
      <w:divBdr>
        <w:top w:val="none" w:sz="0" w:space="0" w:color="auto"/>
        <w:left w:val="none" w:sz="0" w:space="0" w:color="auto"/>
        <w:bottom w:val="none" w:sz="0" w:space="0" w:color="auto"/>
        <w:right w:val="none" w:sz="0" w:space="0" w:color="auto"/>
      </w:divBdr>
    </w:div>
    <w:div w:id="787504746">
      <w:bodyDiv w:val="1"/>
      <w:marLeft w:val="0"/>
      <w:marRight w:val="0"/>
      <w:marTop w:val="0"/>
      <w:marBottom w:val="0"/>
      <w:divBdr>
        <w:top w:val="none" w:sz="0" w:space="0" w:color="auto"/>
        <w:left w:val="none" w:sz="0" w:space="0" w:color="auto"/>
        <w:bottom w:val="none" w:sz="0" w:space="0" w:color="auto"/>
        <w:right w:val="none" w:sz="0" w:space="0" w:color="auto"/>
      </w:divBdr>
    </w:div>
    <w:div w:id="792675558">
      <w:bodyDiv w:val="1"/>
      <w:marLeft w:val="0"/>
      <w:marRight w:val="0"/>
      <w:marTop w:val="0"/>
      <w:marBottom w:val="0"/>
      <w:divBdr>
        <w:top w:val="none" w:sz="0" w:space="0" w:color="auto"/>
        <w:left w:val="none" w:sz="0" w:space="0" w:color="auto"/>
        <w:bottom w:val="none" w:sz="0" w:space="0" w:color="auto"/>
        <w:right w:val="none" w:sz="0" w:space="0" w:color="auto"/>
      </w:divBdr>
    </w:div>
    <w:div w:id="799153564">
      <w:bodyDiv w:val="1"/>
      <w:marLeft w:val="0"/>
      <w:marRight w:val="0"/>
      <w:marTop w:val="0"/>
      <w:marBottom w:val="0"/>
      <w:divBdr>
        <w:top w:val="none" w:sz="0" w:space="0" w:color="auto"/>
        <w:left w:val="none" w:sz="0" w:space="0" w:color="auto"/>
        <w:bottom w:val="none" w:sz="0" w:space="0" w:color="auto"/>
        <w:right w:val="none" w:sz="0" w:space="0" w:color="auto"/>
      </w:divBdr>
    </w:div>
    <w:div w:id="824011116">
      <w:bodyDiv w:val="1"/>
      <w:marLeft w:val="0"/>
      <w:marRight w:val="0"/>
      <w:marTop w:val="0"/>
      <w:marBottom w:val="0"/>
      <w:divBdr>
        <w:top w:val="none" w:sz="0" w:space="0" w:color="auto"/>
        <w:left w:val="none" w:sz="0" w:space="0" w:color="auto"/>
        <w:bottom w:val="none" w:sz="0" w:space="0" w:color="auto"/>
        <w:right w:val="none" w:sz="0" w:space="0" w:color="auto"/>
      </w:divBdr>
    </w:div>
    <w:div w:id="834953978">
      <w:bodyDiv w:val="1"/>
      <w:marLeft w:val="0"/>
      <w:marRight w:val="0"/>
      <w:marTop w:val="0"/>
      <w:marBottom w:val="0"/>
      <w:divBdr>
        <w:top w:val="none" w:sz="0" w:space="0" w:color="auto"/>
        <w:left w:val="none" w:sz="0" w:space="0" w:color="auto"/>
        <w:bottom w:val="none" w:sz="0" w:space="0" w:color="auto"/>
        <w:right w:val="none" w:sz="0" w:space="0" w:color="auto"/>
      </w:divBdr>
    </w:div>
    <w:div w:id="838080755">
      <w:bodyDiv w:val="1"/>
      <w:marLeft w:val="0"/>
      <w:marRight w:val="0"/>
      <w:marTop w:val="0"/>
      <w:marBottom w:val="0"/>
      <w:divBdr>
        <w:top w:val="none" w:sz="0" w:space="0" w:color="auto"/>
        <w:left w:val="none" w:sz="0" w:space="0" w:color="auto"/>
        <w:bottom w:val="none" w:sz="0" w:space="0" w:color="auto"/>
        <w:right w:val="none" w:sz="0" w:space="0" w:color="auto"/>
      </w:divBdr>
      <w:divsChild>
        <w:div w:id="1296644993">
          <w:marLeft w:val="0"/>
          <w:marRight w:val="0"/>
          <w:marTop w:val="0"/>
          <w:marBottom w:val="0"/>
          <w:divBdr>
            <w:top w:val="none" w:sz="0" w:space="6" w:color="auto"/>
            <w:left w:val="none" w:sz="0" w:space="8" w:color="auto"/>
            <w:bottom w:val="single" w:sz="6" w:space="6" w:color="FFFFFF"/>
            <w:right w:val="none" w:sz="0" w:space="0" w:color="auto"/>
          </w:divBdr>
        </w:div>
      </w:divsChild>
    </w:div>
    <w:div w:id="838158694">
      <w:bodyDiv w:val="1"/>
      <w:marLeft w:val="0"/>
      <w:marRight w:val="0"/>
      <w:marTop w:val="0"/>
      <w:marBottom w:val="0"/>
      <w:divBdr>
        <w:top w:val="none" w:sz="0" w:space="0" w:color="auto"/>
        <w:left w:val="none" w:sz="0" w:space="0" w:color="auto"/>
        <w:bottom w:val="none" w:sz="0" w:space="0" w:color="auto"/>
        <w:right w:val="none" w:sz="0" w:space="0" w:color="auto"/>
      </w:divBdr>
    </w:div>
    <w:div w:id="845901096">
      <w:bodyDiv w:val="1"/>
      <w:marLeft w:val="0"/>
      <w:marRight w:val="0"/>
      <w:marTop w:val="0"/>
      <w:marBottom w:val="0"/>
      <w:divBdr>
        <w:top w:val="none" w:sz="0" w:space="0" w:color="auto"/>
        <w:left w:val="none" w:sz="0" w:space="0" w:color="auto"/>
        <w:bottom w:val="none" w:sz="0" w:space="0" w:color="auto"/>
        <w:right w:val="none" w:sz="0" w:space="0" w:color="auto"/>
      </w:divBdr>
    </w:div>
    <w:div w:id="848102907">
      <w:bodyDiv w:val="1"/>
      <w:marLeft w:val="0"/>
      <w:marRight w:val="0"/>
      <w:marTop w:val="0"/>
      <w:marBottom w:val="0"/>
      <w:divBdr>
        <w:top w:val="none" w:sz="0" w:space="0" w:color="auto"/>
        <w:left w:val="none" w:sz="0" w:space="0" w:color="auto"/>
        <w:bottom w:val="none" w:sz="0" w:space="0" w:color="auto"/>
        <w:right w:val="none" w:sz="0" w:space="0" w:color="auto"/>
      </w:divBdr>
    </w:div>
    <w:div w:id="849954188">
      <w:bodyDiv w:val="1"/>
      <w:marLeft w:val="0"/>
      <w:marRight w:val="0"/>
      <w:marTop w:val="0"/>
      <w:marBottom w:val="0"/>
      <w:divBdr>
        <w:top w:val="none" w:sz="0" w:space="0" w:color="auto"/>
        <w:left w:val="none" w:sz="0" w:space="0" w:color="auto"/>
        <w:bottom w:val="none" w:sz="0" w:space="0" w:color="auto"/>
        <w:right w:val="none" w:sz="0" w:space="0" w:color="auto"/>
      </w:divBdr>
      <w:divsChild>
        <w:div w:id="1715958166">
          <w:marLeft w:val="0"/>
          <w:marRight w:val="0"/>
          <w:marTop w:val="0"/>
          <w:marBottom w:val="0"/>
          <w:divBdr>
            <w:top w:val="none" w:sz="0" w:space="0" w:color="auto"/>
            <w:left w:val="none" w:sz="0" w:space="0" w:color="auto"/>
            <w:bottom w:val="none" w:sz="0" w:space="0" w:color="auto"/>
            <w:right w:val="none" w:sz="0" w:space="0" w:color="auto"/>
          </w:divBdr>
        </w:div>
      </w:divsChild>
    </w:div>
    <w:div w:id="851647701">
      <w:bodyDiv w:val="1"/>
      <w:marLeft w:val="0"/>
      <w:marRight w:val="0"/>
      <w:marTop w:val="0"/>
      <w:marBottom w:val="0"/>
      <w:divBdr>
        <w:top w:val="none" w:sz="0" w:space="0" w:color="auto"/>
        <w:left w:val="none" w:sz="0" w:space="0" w:color="auto"/>
        <w:bottom w:val="none" w:sz="0" w:space="0" w:color="auto"/>
        <w:right w:val="none" w:sz="0" w:space="0" w:color="auto"/>
      </w:divBdr>
    </w:div>
    <w:div w:id="852721500">
      <w:bodyDiv w:val="1"/>
      <w:marLeft w:val="0"/>
      <w:marRight w:val="0"/>
      <w:marTop w:val="0"/>
      <w:marBottom w:val="0"/>
      <w:divBdr>
        <w:top w:val="none" w:sz="0" w:space="0" w:color="auto"/>
        <w:left w:val="none" w:sz="0" w:space="0" w:color="auto"/>
        <w:bottom w:val="none" w:sz="0" w:space="0" w:color="auto"/>
        <w:right w:val="none" w:sz="0" w:space="0" w:color="auto"/>
      </w:divBdr>
    </w:div>
    <w:div w:id="853691328">
      <w:bodyDiv w:val="1"/>
      <w:marLeft w:val="0"/>
      <w:marRight w:val="0"/>
      <w:marTop w:val="0"/>
      <w:marBottom w:val="0"/>
      <w:divBdr>
        <w:top w:val="none" w:sz="0" w:space="0" w:color="auto"/>
        <w:left w:val="none" w:sz="0" w:space="0" w:color="auto"/>
        <w:bottom w:val="none" w:sz="0" w:space="0" w:color="auto"/>
        <w:right w:val="none" w:sz="0" w:space="0" w:color="auto"/>
      </w:divBdr>
    </w:div>
    <w:div w:id="859590086">
      <w:bodyDiv w:val="1"/>
      <w:marLeft w:val="0"/>
      <w:marRight w:val="0"/>
      <w:marTop w:val="0"/>
      <w:marBottom w:val="0"/>
      <w:divBdr>
        <w:top w:val="none" w:sz="0" w:space="0" w:color="auto"/>
        <w:left w:val="none" w:sz="0" w:space="0" w:color="auto"/>
        <w:bottom w:val="none" w:sz="0" w:space="0" w:color="auto"/>
        <w:right w:val="none" w:sz="0" w:space="0" w:color="auto"/>
      </w:divBdr>
      <w:divsChild>
        <w:div w:id="1805347725">
          <w:marLeft w:val="0"/>
          <w:marRight w:val="0"/>
          <w:marTop w:val="0"/>
          <w:marBottom w:val="0"/>
          <w:divBdr>
            <w:top w:val="none" w:sz="0" w:space="0" w:color="auto"/>
            <w:left w:val="none" w:sz="0" w:space="0" w:color="auto"/>
            <w:bottom w:val="none" w:sz="0" w:space="0" w:color="auto"/>
            <w:right w:val="none" w:sz="0" w:space="0" w:color="auto"/>
          </w:divBdr>
          <w:divsChild>
            <w:div w:id="1353605950">
              <w:marLeft w:val="0"/>
              <w:marRight w:val="0"/>
              <w:marTop w:val="0"/>
              <w:marBottom w:val="0"/>
              <w:divBdr>
                <w:top w:val="none" w:sz="0" w:space="0" w:color="auto"/>
                <w:left w:val="none" w:sz="0" w:space="0" w:color="auto"/>
                <w:bottom w:val="none" w:sz="0" w:space="0" w:color="auto"/>
                <w:right w:val="none" w:sz="0" w:space="0" w:color="auto"/>
              </w:divBdr>
              <w:divsChild>
                <w:div w:id="902717485">
                  <w:marLeft w:val="0"/>
                  <w:marRight w:val="0"/>
                  <w:marTop w:val="0"/>
                  <w:marBottom w:val="0"/>
                  <w:divBdr>
                    <w:top w:val="none" w:sz="0" w:space="0" w:color="auto"/>
                    <w:left w:val="none" w:sz="0" w:space="0" w:color="auto"/>
                    <w:bottom w:val="none" w:sz="0" w:space="0" w:color="auto"/>
                    <w:right w:val="none" w:sz="0" w:space="0" w:color="auto"/>
                  </w:divBdr>
                  <w:divsChild>
                    <w:div w:id="839081585">
                      <w:marLeft w:val="0"/>
                      <w:marRight w:val="0"/>
                      <w:marTop w:val="0"/>
                      <w:marBottom w:val="0"/>
                      <w:divBdr>
                        <w:top w:val="none" w:sz="0" w:space="0" w:color="auto"/>
                        <w:left w:val="none" w:sz="0" w:space="0" w:color="auto"/>
                        <w:bottom w:val="none" w:sz="0" w:space="0" w:color="auto"/>
                        <w:right w:val="none" w:sz="0" w:space="0" w:color="auto"/>
                      </w:divBdr>
                      <w:divsChild>
                        <w:div w:id="66428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2522625">
      <w:bodyDiv w:val="1"/>
      <w:marLeft w:val="0"/>
      <w:marRight w:val="0"/>
      <w:marTop w:val="0"/>
      <w:marBottom w:val="0"/>
      <w:divBdr>
        <w:top w:val="none" w:sz="0" w:space="0" w:color="auto"/>
        <w:left w:val="none" w:sz="0" w:space="0" w:color="auto"/>
        <w:bottom w:val="none" w:sz="0" w:space="0" w:color="auto"/>
        <w:right w:val="none" w:sz="0" w:space="0" w:color="auto"/>
      </w:divBdr>
    </w:div>
    <w:div w:id="863009680">
      <w:bodyDiv w:val="1"/>
      <w:marLeft w:val="0"/>
      <w:marRight w:val="0"/>
      <w:marTop w:val="0"/>
      <w:marBottom w:val="0"/>
      <w:divBdr>
        <w:top w:val="none" w:sz="0" w:space="0" w:color="auto"/>
        <w:left w:val="none" w:sz="0" w:space="0" w:color="auto"/>
        <w:bottom w:val="none" w:sz="0" w:space="0" w:color="auto"/>
        <w:right w:val="none" w:sz="0" w:space="0" w:color="auto"/>
      </w:divBdr>
      <w:divsChild>
        <w:div w:id="265694176">
          <w:marLeft w:val="0"/>
          <w:marRight w:val="0"/>
          <w:marTop w:val="0"/>
          <w:marBottom w:val="0"/>
          <w:divBdr>
            <w:top w:val="none" w:sz="0" w:space="0" w:color="auto"/>
            <w:left w:val="none" w:sz="0" w:space="0" w:color="auto"/>
            <w:bottom w:val="none" w:sz="0" w:space="0" w:color="auto"/>
            <w:right w:val="none" w:sz="0" w:space="0" w:color="auto"/>
          </w:divBdr>
          <w:divsChild>
            <w:div w:id="333263923">
              <w:marLeft w:val="0"/>
              <w:marRight w:val="0"/>
              <w:marTop w:val="0"/>
              <w:marBottom w:val="0"/>
              <w:divBdr>
                <w:top w:val="none" w:sz="0" w:space="0" w:color="auto"/>
                <w:left w:val="none" w:sz="0" w:space="0" w:color="auto"/>
                <w:bottom w:val="none" w:sz="0" w:space="0" w:color="auto"/>
                <w:right w:val="none" w:sz="0" w:space="0" w:color="auto"/>
              </w:divBdr>
              <w:divsChild>
                <w:div w:id="161896678">
                  <w:marLeft w:val="0"/>
                  <w:marRight w:val="0"/>
                  <w:marTop w:val="0"/>
                  <w:marBottom w:val="0"/>
                  <w:divBdr>
                    <w:top w:val="none" w:sz="0" w:space="0" w:color="auto"/>
                    <w:left w:val="none" w:sz="0" w:space="0" w:color="auto"/>
                    <w:bottom w:val="none" w:sz="0" w:space="0" w:color="auto"/>
                    <w:right w:val="none" w:sz="0" w:space="0" w:color="auto"/>
                  </w:divBdr>
                  <w:divsChild>
                    <w:div w:id="447747467">
                      <w:marLeft w:val="0"/>
                      <w:marRight w:val="0"/>
                      <w:marTop w:val="0"/>
                      <w:marBottom w:val="0"/>
                      <w:divBdr>
                        <w:top w:val="none" w:sz="0" w:space="0" w:color="auto"/>
                        <w:left w:val="none" w:sz="0" w:space="0" w:color="auto"/>
                        <w:bottom w:val="none" w:sz="0" w:space="0" w:color="auto"/>
                        <w:right w:val="none" w:sz="0" w:space="0" w:color="auto"/>
                      </w:divBdr>
                      <w:divsChild>
                        <w:div w:id="153910735">
                          <w:marLeft w:val="0"/>
                          <w:marRight w:val="0"/>
                          <w:marTop w:val="0"/>
                          <w:marBottom w:val="0"/>
                          <w:divBdr>
                            <w:top w:val="none" w:sz="0" w:space="0" w:color="auto"/>
                            <w:left w:val="none" w:sz="0" w:space="0" w:color="auto"/>
                            <w:bottom w:val="none" w:sz="0" w:space="0" w:color="auto"/>
                            <w:right w:val="none" w:sz="0" w:space="0" w:color="auto"/>
                          </w:divBdr>
                          <w:divsChild>
                            <w:div w:id="96443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7597844">
      <w:bodyDiv w:val="1"/>
      <w:marLeft w:val="0"/>
      <w:marRight w:val="0"/>
      <w:marTop w:val="0"/>
      <w:marBottom w:val="0"/>
      <w:divBdr>
        <w:top w:val="none" w:sz="0" w:space="0" w:color="auto"/>
        <w:left w:val="none" w:sz="0" w:space="0" w:color="auto"/>
        <w:bottom w:val="none" w:sz="0" w:space="0" w:color="auto"/>
        <w:right w:val="none" w:sz="0" w:space="0" w:color="auto"/>
      </w:divBdr>
      <w:divsChild>
        <w:div w:id="907113032">
          <w:marLeft w:val="0"/>
          <w:marRight w:val="0"/>
          <w:marTop w:val="0"/>
          <w:marBottom w:val="0"/>
          <w:divBdr>
            <w:top w:val="none" w:sz="0" w:space="0" w:color="auto"/>
            <w:left w:val="none" w:sz="0" w:space="0" w:color="auto"/>
            <w:bottom w:val="none" w:sz="0" w:space="0" w:color="auto"/>
            <w:right w:val="none" w:sz="0" w:space="0" w:color="auto"/>
          </w:divBdr>
          <w:divsChild>
            <w:div w:id="185453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876658">
      <w:bodyDiv w:val="1"/>
      <w:marLeft w:val="0"/>
      <w:marRight w:val="0"/>
      <w:marTop w:val="0"/>
      <w:marBottom w:val="0"/>
      <w:divBdr>
        <w:top w:val="none" w:sz="0" w:space="0" w:color="auto"/>
        <w:left w:val="none" w:sz="0" w:space="0" w:color="auto"/>
        <w:bottom w:val="none" w:sz="0" w:space="0" w:color="auto"/>
        <w:right w:val="none" w:sz="0" w:space="0" w:color="auto"/>
      </w:divBdr>
    </w:div>
    <w:div w:id="873881390">
      <w:bodyDiv w:val="1"/>
      <w:marLeft w:val="0"/>
      <w:marRight w:val="0"/>
      <w:marTop w:val="0"/>
      <w:marBottom w:val="0"/>
      <w:divBdr>
        <w:top w:val="none" w:sz="0" w:space="0" w:color="auto"/>
        <w:left w:val="none" w:sz="0" w:space="0" w:color="auto"/>
        <w:bottom w:val="none" w:sz="0" w:space="0" w:color="auto"/>
        <w:right w:val="none" w:sz="0" w:space="0" w:color="auto"/>
      </w:divBdr>
    </w:div>
    <w:div w:id="876352082">
      <w:bodyDiv w:val="1"/>
      <w:marLeft w:val="0"/>
      <w:marRight w:val="0"/>
      <w:marTop w:val="0"/>
      <w:marBottom w:val="0"/>
      <w:divBdr>
        <w:top w:val="none" w:sz="0" w:space="0" w:color="auto"/>
        <w:left w:val="none" w:sz="0" w:space="0" w:color="auto"/>
        <w:bottom w:val="none" w:sz="0" w:space="0" w:color="auto"/>
        <w:right w:val="none" w:sz="0" w:space="0" w:color="auto"/>
      </w:divBdr>
    </w:div>
    <w:div w:id="888616743">
      <w:bodyDiv w:val="1"/>
      <w:marLeft w:val="0"/>
      <w:marRight w:val="0"/>
      <w:marTop w:val="0"/>
      <w:marBottom w:val="0"/>
      <w:divBdr>
        <w:top w:val="none" w:sz="0" w:space="0" w:color="auto"/>
        <w:left w:val="none" w:sz="0" w:space="0" w:color="auto"/>
        <w:bottom w:val="none" w:sz="0" w:space="0" w:color="auto"/>
        <w:right w:val="none" w:sz="0" w:space="0" w:color="auto"/>
      </w:divBdr>
    </w:div>
    <w:div w:id="889614457">
      <w:bodyDiv w:val="1"/>
      <w:marLeft w:val="0"/>
      <w:marRight w:val="0"/>
      <w:marTop w:val="0"/>
      <w:marBottom w:val="0"/>
      <w:divBdr>
        <w:top w:val="none" w:sz="0" w:space="0" w:color="auto"/>
        <w:left w:val="none" w:sz="0" w:space="0" w:color="auto"/>
        <w:bottom w:val="none" w:sz="0" w:space="0" w:color="auto"/>
        <w:right w:val="none" w:sz="0" w:space="0" w:color="auto"/>
      </w:divBdr>
    </w:div>
    <w:div w:id="908004964">
      <w:bodyDiv w:val="1"/>
      <w:marLeft w:val="0"/>
      <w:marRight w:val="0"/>
      <w:marTop w:val="0"/>
      <w:marBottom w:val="0"/>
      <w:divBdr>
        <w:top w:val="none" w:sz="0" w:space="0" w:color="auto"/>
        <w:left w:val="none" w:sz="0" w:space="0" w:color="auto"/>
        <w:bottom w:val="none" w:sz="0" w:space="0" w:color="auto"/>
        <w:right w:val="none" w:sz="0" w:space="0" w:color="auto"/>
      </w:divBdr>
    </w:div>
    <w:div w:id="912281120">
      <w:bodyDiv w:val="1"/>
      <w:marLeft w:val="0"/>
      <w:marRight w:val="0"/>
      <w:marTop w:val="150"/>
      <w:marBottom w:val="150"/>
      <w:divBdr>
        <w:top w:val="none" w:sz="0" w:space="0" w:color="auto"/>
        <w:left w:val="none" w:sz="0" w:space="0" w:color="auto"/>
        <w:bottom w:val="none" w:sz="0" w:space="0" w:color="auto"/>
        <w:right w:val="none" w:sz="0" w:space="0" w:color="auto"/>
      </w:divBdr>
      <w:divsChild>
        <w:div w:id="1103451770">
          <w:marLeft w:val="0"/>
          <w:marRight w:val="0"/>
          <w:marTop w:val="100"/>
          <w:marBottom w:val="100"/>
          <w:divBdr>
            <w:top w:val="none" w:sz="0" w:space="0" w:color="auto"/>
            <w:left w:val="none" w:sz="0" w:space="0" w:color="auto"/>
            <w:bottom w:val="none" w:sz="0" w:space="0" w:color="auto"/>
            <w:right w:val="none" w:sz="0" w:space="0" w:color="auto"/>
          </w:divBdr>
          <w:divsChild>
            <w:div w:id="1631785845">
              <w:marLeft w:val="0"/>
              <w:marRight w:val="0"/>
              <w:marTop w:val="0"/>
              <w:marBottom w:val="0"/>
              <w:divBdr>
                <w:top w:val="none" w:sz="0" w:space="0" w:color="auto"/>
                <w:left w:val="none" w:sz="0" w:space="0" w:color="auto"/>
                <w:bottom w:val="none" w:sz="0" w:space="0" w:color="auto"/>
                <w:right w:val="none" w:sz="0" w:space="0" w:color="auto"/>
              </w:divBdr>
              <w:divsChild>
                <w:div w:id="612593397">
                  <w:marLeft w:val="0"/>
                  <w:marRight w:val="0"/>
                  <w:marTop w:val="0"/>
                  <w:marBottom w:val="300"/>
                  <w:divBdr>
                    <w:top w:val="none" w:sz="0" w:space="0" w:color="auto"/>
                    <w:left w:val="none" w:sz="0" w:space="0" w:color="auto"/>
                    <w:bottom w:val="none" w:sz="0" w:space="0" w:color="auto"/>
                    <w:right w:val="none" w:sz="0" w:space="0" w:color="auto"/>
                  </w:divBdr>
                  <w:divsChild>
                    <w:div w:id="162715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434952">
      <w:bodyDiv w:val="1"/>
      <w:marLeft w:val="0"/>
      <w:marRight w:val="0"/>
      <w:marTop w:val="0"/>
      <w:marBottom w:val="0"/>
      <w:divBdr>
        <w:top w:val="none" w:sz="0" w:space="0" w:color="auto"/>
        <w:left w:val="none" w:sz="0" w:space="0" w:color="auto"/>
        <w:bottom w:val="none" w:sz="0" w:space="0" w:color="auto"/>
        <w:right w:val="none" w:sz="0" w:space="0" w:color="auto"/>
      </w:divBdr>
    </w:div>
    <w:div w:id="918292543">
      <w:bodyDiv w:val="1"/>
      <w:marLeft w:val="0"/>
      <w:marRight w:val="0"/>
      <w:marTop w:val="0"/>
      <w:marBottom w:val="0"/>
      <w:divBdr>
        <w:top w:val="none" w:sz="0" w:space="0" w:color="auto"/>
        <w:left w:val="none" w:sz="0" w:space="0" w:color="auto"/>
        <w:bottom w:val="none" w:sz="0" w:space="0" w:color="auto"/>
        <w:right w:val="none" w:sz="0" w:space="0" w:color="auto"/>
      </w:divBdr>
      <w:divsChild>
        <w:div w:id="1951009591">
          <w:marLeft w:val="0"/>
          <w:marRight w:val="0"/>
          <w:marTop w:val="0"/>
          <w:marBottom w:val="0"/>
          <w:divBdr>
            <w:top w:val="none" w:sz="0" w:space="0" w:color="auto"/>
            <w:left w:val="none" w:sz="0" w:space="0" w:color="auto"/>
            <w:bottom w:val="none" w:sz="0" w:space="0" w:color="auto"/>
            <w:right w:val="none" w:sz="0" w:space="0" w:color="auto"/>
          </w:divBdr>
          <w:divsChild>
            <w:div w:id="1077555523">
              <w:marLeft w:val="0"/>
              <w:marRight w:val="0"/>
              <w:marTop w:val="0"/>
              <w:marBottom w:val="0"/>
              <w:divBdr>
                <w:top w:val="none" w:sz="0" w:space="0" w:color="auto"/>
                <w:left w:val="none" w:sz="0" w:space="0" w:color="auto"/>
                <w:bottom w:val="none" w:sz="0" w:space="0" w:color="auto"/>
                <w:right w:val="none" w:sz="0" w:space="0" w:color="auto"/>
              </w:divBdr>
              <w:divsChild>
                <w:div w:id="1057169488">
                  <w:marLeft w:val="0"/>
                  <w:marRight w:val="0"/>
                  <w:marTop w:val="0"/>
                  <w:marBottom w:val="0"/>
                  <w:divBdr>
                    <w:top w:val="none" w:sz="0" w:space="0" w:color="auto"/>
                    <w:left w:val="none" w:sz="0" w:space="0" w:color="auto"/>
                    <w:bottom w:val="none" w:sz="0" w:space="0" w:color="auto"/>
                    <w:right w:val="none" w:sz="0" w:space="0" w:color="auto"/>
                  </w:divBdr>
                  <w:divsChild>
                    <w:div w:id="1234240177">
                      <w:marLeft w:val="-225"/>
                      <w:marRight w:val="-225"/>
                      <w:marTop w:val="0"/>
                      <w:marBottom w:val="0"/>
                      <w:divBdr>
                        <w:top w:val="none" w:sz="0" w:space="0" w:color="auto"/>
                        <w:left w:val="none" w:sz="0" w:space="0" w:color="auto"/>
                        <w:bottom w:val="none" w:sz="0" w:space="0" w:color="auto"/>
                        <w:right w:val="none" w:sz="0" w:space="0" w:color="auto"/>
                      </w:divBdr>
                      <w:divsChild>
                        <w:div w:id="1185090816">
                          <w:marLeft w:val="0"/>
                          <w:marRight w:val="0"/>
                          <w:marTop w:val="0"/>
                          <w:marBottom w:val="0"/>
                          <w:divBdr>
                            <w:top w:val="none" w:sz="0" w:space="0" w:color="auto"/>
                            <w:left w:val="none" w:sz="0" w:space="0" w:color="auto"/>
                            <w:bottom w:val="none" w:sz="0" w:space="0" w:color="auto"/>
                            <w:right w:val="none" w:sz="0" w:space="0" w:color="auto"/>
                          </w:divBdr>
                          <w:divsChild>
                            <w:div w:id="1729498151">
                              <w:marLeft w:val="0"/>
                              <w:marRight w:val="0"/>
                              <w:marTop w:val="0"/>
                              <w:marBottom w:val="0"/>
                              <w:divBdr>
                                <w:top w:val="none" w:sz="0" w:space="0" w:color="auto"/>
                                <w:left w:val="none" w:sz="0" w:space="0" w:color="auto"/>
                                <w:bottom w:val="none" w:sz="0" w:space="0" w:color="auto"/>
                                <w:right w:val="none" w:sz="0" w:space="0" w:color="auto"/>
                              </w:divBdr>
                              <w:divsChild>
                                <w:div w:id="1810397332">
                                  <w:marLeft w:val="0"/>
                                  <w:marRight w:val="0"/>
                                  <w:marTop w:val="0"/>
                                  <w:marBottom w:val="0"/>
                                  <w:divBdr>
                                    <w:top w:val="none" w:sz="0" w:space="0" w:color="auto"/>
                                    <w:left w:val="none" w:sz="0" w:space="0" w:color="auto"/>
                                    <w:bottom w:val="none" w:sz="0" w:space="0" w:color="auto"/>
                                    <w:right w:val="none" w:sz="0" w:space="0" w:color="auto"/>
                                  </w:divBdr>
                                  <w:divsChild>
                                    <w:div w:id="1052996712">
                                      <w:marLeft w:val="0"/>
                                      <w:marRight w:val="0"/>
                                      <w:marTop w:val="0"/>
                                      <w:marBottom w:val="0"/>
                                      <w:divBdr>
                                        <w:top w:val="none" w:sz="0" w:space="0" w:color="auto"/>
                                        <w:left w:val="none" w:sz="0" w:space="0" w:color="auto"/>
                                        <w:bottom w:val="none" w:sz="0" w:space="0" w:color="auto"/>
                                        <w:right w:val="none" w:sz="0" w:space="0" w:color="auto"/>
                                      </w:divBdr>
                                      <w:divsChild>
                                        <w:div w:id="1381855478">
                                          <w:marLeft w:val="0"/>
                                          <w:marRight w:val="0"/>
                                          <w:marTop w:val="0"/>
                                          <w:marBottom w:val="0"/>
                                          <w:divBdr>
                                            <w:top w:val="none" w:sz="0" w:space="0" w:color="auto"/>
                                            <w:left w:val="none" w:sz="0" w:space="0" w:color="auto"/>
                                            <w:bottom w:val="none" w:sz="0" w:space="0" w:color="auto"/>
                                            <w:right w:val="none" w:sz="0" w:space="0" w:color="auto"/>
                                          </w:divBdr>
                                          <w:divsChild>
                                            <w:div w:id="1270167004">
                                              <w:marLeft w:val="0"/>
                                              <w:marRight w:val="0"/>
                                              <w:marTop w:val="0"/>
                                              <w:marBottom w:val="0"/>
                                              <w:divBdr>
                                                <w:top w:val="none" w:sz="0" w:space="0" w:color="auto"/>
                                                <w:left w:val="none" w:sz="0" w:space="0" w:color="auto"/>
                                                <w:bottom w:val="none" w:sz="0" w:space="0" w:color="auto"/>
                                                <w:right w:val="none" w:sz="0" w:space="0" w:color="auto"/>
                                              </w:divBdr>
                                              <w:divsChild>
                                                <w:div w:id="1593658475">
                                                  <w:marLeft w:val="0"/>
                                                  <w:marRight w:val="0"/>
                                                  <w:marTop w:val="0"/>
                                                  <w:marBottom w:val="0"/>
                                                  <w:divBdr>
                                                    <w:top w:val="none" w:sz="0" w:space="0" w:color="auto"/>
                                                    <w:left w:val="none" w:sz="0" w:space="0" w:color="auto"/>
                                                    <w:bottom w:val="none" w:sz="0" w:space="0" w:color="auto"/>
                                                    <w:right w:val="none" w:sz="0" w:space="0" w:color="auto"/>
                                                  </w:divBdr>
                                                  <w:divsChild>
                                                    <w:div w:id="22676816">
                                                      <w:marLeft w:val="0"/>
                                                      <w:marRight w:val="0"/>
                                                      <w:marTop w:val="0"/>
                                                      <w:marBottom w:val="0"/>
                                                      <w:divBdr>
                                                        <w:top w:val="none" w:sz="0" w:space="0" w:color="auto"/>
                                                        <w:left w:val="none" w:sz="0" w:space="0" w:color="auto"/>
                                                        <w:bottom w:val="none" w:sz="0" w:space="0" w:color="auto"/>
                                                        <w:right w:val="none" w:sz="0" w:space="0" w:color="auto"/>
                                                      </w:divBdr>
                                                      <w:divsChild>
                                                        <w:div w:id="1210917744">
                                                          <w:marLeft w:val="0"/>
                                                          <w:marRight w:val="0"/>
                                                          <w:marTop w:val="0"/>
                                                          <w:marBottom w:val="0"/>
                                                          <w:divBdr>
                                                            <w:top w:val="none" w:sz="0" w:space="0" w:color="auto"/>
                                                            <w:left w:val="none" w:sz="0" w:space="0" w:color="auto"/>
                                                            <w:bottom w:val="none" w:sz="0" w:space="0" w:color="auto"/>
                                                            <w:right w:val="none" w:sz="0" w:space="0" w:color="auto"/>
                                                          </w:divBdr>
                                                          <w:divsChild>
                                                            <w:div w:id="65304222">
                                                              <w:marLeft w:val="0"/>
                                                              <w:marRight w:val="0"/>
                                                              <w:marTop w:val="0"/>
                                                              <w:marBottom w:val="0"/>
                                                              <w:divBdr>
                                                                <w:top w:val="none" w:sz="0" w:space="0" w:color="auto"/>
                                                                <w:left w:val="none" w:sz="0" w:space="0" w:color="auto"/>
                                                                <w:bottom w:val="none" w:sz="0" w:space="0" w:color="auto"/>
                                                                <w:right w:val="none" w:sz="0" w:space="0" w:color="auto"/>
                                                              </w:divBdr>
                                                              <w:divsChild>
                                                                <w:div w:id="8029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30623154">
      <w:marLeft w:val="0"/>
      <w:marRight w:val="0"/>
      <w:marTop w:val="0"/>
      <w:marBottom w:val="0"/>
      <w:divBdr>
        <w:top w:val="none" w:sz="0" w:space="0" w:color="auto"/>
        <w:left w:val="none" w:sz="0" w:space="0" w:color="auto"/>
        <w:bottom w:val="none" w:sz="0" w:space="0" w:color="auto"/>
        <w:right w:val="none" w:sz="0" w:space="0" w:color="auto"/>
      </w:divBdr>
    </w:div>
    <w:div w:id="937911832">
      <w:bodyDiv w:val="1"/>
      <w:marLeft w:val="0"/>
      <w:marRight w:val="0"/>
      <w:marTop w:val="0"/>
      <w:marBottom w:val="0"/>
      <w:divBdr>
        <w:top w:val="none" w:sz="0" w:space="0" w:color="auto"/>
        <w:left w:val="none" w:sz="0" w:space="0" w:color="auto"/>
        <w:bottom w:val="none" w:sz="0" w:space="0" w:color="auto"/>
        <w:right w:val="none" w:sz="0" w:space="0" w:color="auto"/>
      </w:divBdr>
      <w:divsChild>
        <w:div w:id="63263569">
          <w:marLeft w:val="0"/>
          <w:marRight w:val="0"/>
          <w:marTop w:val="0"/>
          <w:marBottom w:val="0"/>
          <w:divBdr>
            <w:top w:val="none" w:sz="0" w:space="0" w:color="auto"/>
            <w:left w:val="none" w:sz="0" w:space="0" w:color="auto"/>
            <w:bottom w:val="none" w:sz="0" w:space="0" w:color="auto"/>
            <w:right w:val="none" w:sz="0" w:space="0" w:color="auto"/>
          </w:divBdr>
          <w:divsChild>
            <w:div w:id="24584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760646">
      <w:bodyDiv w:val="1"/>
      <w:marLeft w:val="0"/>
      <w:marRight w:val="0"/>
      <w:marTop w:val="0"/>
      <w:marBottom w:val="0"/>
      <w:divBdr>
        <w:top w:val="none" w:sz="0" w:space="0" w:color="auto"/>
        <w:left w:val="none" w:sz="0" w:space="0" w:color="auto"/>
        <w:bottom w:val="none" w:sz="0" w:space="0" w:color="auto"/>
        <w:right w:val="none" w:sz="0" w:space="0" w:color="auto"/>
      </w:divBdr>
      <w:divsChild>
        <w:div w:id="2044674734">
          <w:marLeft w:val="0"/>
          <w:marRight w:val="0"/>
          <w:marTop w:val="0"/>
          <w:marBottom w:val="0"/>
          <w:divBdr>
            <w:top w:val="none" w:sz="0" w:space="0" w:color="auto"/>
            <w:left w:val="none" w:sz="0" w:space="0" w:color="auto"/>
            <w:bottom w:val="none" w:sz="0" w:space="0" w:color="auto"/>
            <w:right w:val="none" w:sz="0" w:space="0" w:color="auto"/>
          </w:divBdr>
          <w:divsChild>
            <w:div w:id="1820875542">
              <w:marLeft w:val="-225"/>
              <w:marRight w:val="-225"/>
              <w:marTop w:val="0"/>
              <w:marBottom w:val="0"/>
              <w:divBdr>
                <w:top w:val="none" w:sz="0" w:space="0" w:color="auto"/>
                <w:left w:val="none" w:sz="0" w:space="0" w:color="auto"/>
                <w:bottom w:val="none" w:sz="0" w:space="0" w:color="auto"/>
                <w:right w:val="none" w:sz="0" w:space="0" w:color="auto"/>
              </w:divBdr>
              <w:divsChild>
                <w:div w:id="19570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523563">
      <w:bodyDiv w:val="1"/>
      <w:marLeft w:val="0"/>
      <w:marRight w:val="0"/>
      <w:marTop w:val="0"/>
      <w:marBottom w:val="0"/>
      <w:divBdr>
        <w:top w:val="none" w:sz="0" w:space="0" w:color="auto"/>
        <w:left w:val="none" w:sz="0" w:space="0" w:color="auto"/>
        <w:bottom w:val="none" w:sz="0" w:space="0" w:color="auto"/>
        <w:right w:val="none" w:sz="0" w:space="0" w:color="auto"/>
      </w:divBdr>
    </w:div>
    <w:div w:id="958487270">
      <w:bodyDiv w:val="1"/>
      <w:marLeft w:val="0"/>
      <w:marRight w:val="0"/>
      <w:marTop w:val="0"/>
      <w:marBottom w:val="0"/>
      <w:divBdr>
        <w:top w:val="none" w:sz="0" w:space="0" w:color="auto"/>
        <w:left w:val="none" w:sz="0" w:space="0" w:color="auto"/>
        <w:bottom w:val="none" w:sz="0" w:space="0" w:color="auto"/>
        <w:right w:val="none" w:sz="0" w:space="0" w:color="auto"/>
      </w:divBdr>
    </w:div>
    <w:div w:id="964459690">
      <w:bodyDiv w:val="1"/>
      <w:marLeft w:val="0"/>
      <w:marRight w:val="0"/>
      <w:marTop w:val="0"/>
      <w:marBottom w:val="0"/>
      <w:divBdr>
        <w:top w:val="none" w:sz="0" w:space="0" w:color="auto"/>
        <w:left w:val="none" w:sz="0" w:space="0" w:color="auto"/>
        <w:bottom w:val="none" w:sz="0" w:space="0" w:color="auto"/>
        <w:right w:val="none" w:sz="0" w:space="0" w:color="auto"/>
      </w:divBdr>
    </w:div>
    <w:div w:id="965936757">
      <w:bodyDiv w:val="1"/>
      <w:marLeft w:val="0"/>
      <w:marRight w:val="0"/>
      <w:marTop w:val="0"/>
      <w:marBottom w:val="0"/>
      <w:divBdr>
        <w:top w:val="none" w:sz="0" w:space="0" w:color="auto"/>
        <w:left w:val="none" w:sz="0" w:space="0" w:color="auto"/>
        <w:bottom w:val="none" w:sz="0" w:space="0" w:color="auto"/>
        <w:right w:val="none" w:sz="0" w:space="0" w:color="auto"/>
      </w:divBdr>
    </w:div>
    <w:div w:id="976187246">
      <w:bodyDiv w:val="1"/>
      <w:marLeft w:val="0"/>
      <w:marRight w:val="0"/>
      <w:marTop w:val="0"/>
      <w:marBottom w:val="0"/>
      <w:divBdr>
        <w:top w:val="none" w:sz="0" w:space="0" w:color="auto"/>
        <w:left w:val="none" w:sz="0" w:space="0" w:color="auto"/>
        <w:bottom w:val="none" w:sz="0" w:space="0" w:color="auto"/>
        <w:right w:val="none" w:sz="0" w:space="0" w:color="auto"/>
      </w:divBdr>
    </w:div>
    <w:div w:id="997686003">
      <w:bodyDiv w:val="1"/>
      <w:marLeft w:val="0"/>
      <w:marRight w:val="0"/>
      <w:marTop w:val="0"/>
      <w:marBottom w:val="0"/>
      <w:divBdr>
        <w:top w:val="none" w:sz="0" w:space="0" w:color="auto"/>
        <w:left w:val="none" w:sz="0" w:space="0" w:color="auto"/>
        <w:bottom w:val="none" w:sz="0" w:space="0" w:color="auto"/>
        <w:right w:val="none" w:sz="0" w:space="0" w:color="auto"/>
      </w:divBdr>
      <w:divsChild>
        <w:div w:id="1307972988">
          <w:marLeft w:val="0"/>
          <w:marRight w:val="0"/>
          <w:marTop w:val="0"/>
          <w:marBottom w:val="0"/>
          <w:divBdr>
            <w:top w:val="none" w:sz="0" w:space="0" w:color="auto"/>
            <w:left w:val="none" w:sz="0" w:space="0" w:color="auto"/>
            <w:bottom w:val="none" w:sz="0" w:space="0" w:color="auto"/>
            <w:right w:val="none" w:sz="0" w:space="0" w:color="auto"/>
          </w:divBdr>
        </w:div>
      </w:divsChild>
    </w:div>
    <w:div w:id="999622495">
      <w:bodyDiv w:val="1"/>
      <w:marLeft w:val="0"/>
      <w:marRight w:val="0"/>
      <w:marTop w:val="0"/>
      <w:marBottom w:val="0"/>
      <w:divBdr>
        <w:top w:val="none" w:sz="0" w:space="0" w:color="auto"/>
        <w:left w:val="none" w:sz="0" w:space="0" w:color="auto"/>
        <w:bottom w:val="none" w:sz="0" w:space="0" w:color="auto"/>
        <w:right w:val="none" w:sz="0" w:space="0" w:color="auto"/>
      </w:divBdr>
    </w:div>
    <w:div w:id="1000281303">
      <w:bodyDiv w:val="1"/>
      <w:marLeft w:val="0"/>
      <w:marRight w:val="0"/>
      <w:marTop w:val="0"/>
      <w:marBottom w:val="0"/>
      <w:divBdr>
        <w:top w:val="none" w:sz="0" w:space="0" w:color="auto"/>
        <w:left w:val="none" w:sz="0" w:space="0" w:color="auto"/>
        <w:bottom w:val="none" w:sz="0" w:space="0" w:color="auto"/>
        <w:right w:val="none" w:sz="0" w:space="0" w:color="auto"/>
      </w:divBdr>
    </w:div>
    <w:div w:id="1012759372">
      <w:bodyDiv w:val="1"/>
      <w:marLeft w:val="0"/>
      <w:marRight w:val="0"/>
      <w:marTop w:val="0"/>
      <w:marBottom w:val="0"/>
      <w:divBdr>
        <w:top w:val="none" w:sz="0" w:space="0" w:color="auto"/>
        <w:left w:val="none" w:sz="0" w:space="0" w:color="auto"/>
        <w:bottom w:val="none" w:sz="0" w:space="0" w:color="auto"/>
        <w:right w:val="none" w:sz="0" w:space="0" w:color="auto"/>
      </w:divBdr>
    </w:div>
    <w:div w:id="1018508602">
      <w:marLeft w:val="0"/>
      <w:marRight w:val="0"/>
      <w:marTop w:val="0"/>
      <w:marBottom w:val="0"/>
      <w:divBdr>
        <w:top w:val="none" w:sz="0" w:space="0" w:color="auto"/>
        <w:left w:val="none" w:sz="0" w:space="0" w:color="auto"/>
        <w:bottom w:val="none" w:sz="0" w:space="0" w:color="auto"/>
        <w:right w:val="none" w:sz="0" w:space="0" w:color="auto"/>
      </w:divBdr>
      <w:divsChild>
        <w:div w:id="1291742951">
          <w:marLeft w:val="45"/>
          <w:marRight w:val="0"/>
          <w:marTop w:val="0"/>
          <w:marBottom w:val="0"/>
          <w:divBdr>
            <w:top w:val="none" w:sz="0" w:space="0" w:color="auto"/>
            <w:left w:val="none" w:sz="0" w:space="0" w:color="auto"/>
            <w:bottom w:val="none" w:sz="0" w:space="0" w:color="auto"/>
            <w:right w:val="none" w:sz="0" w:space="0" w:color="auto"/>
          </w:divBdr>
          <w:divsChild>
            <w:div w:id="112843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437849">
      <w:bodyDiv w:val="1"/>
      <w:marLeft w:val="0"/>
      <w:marRight w:val="0"/>
      <w:marTop w:val="0"/>
      <w:marBottom w:val="0"/>
      <w:divBdr>
        <w:top w:val="none" w:sz="0" w:space="0" w:color="auto"/>
        <w:left w:val="none" w:sz="0" w:space="0" w:color="auto"/>
        <w:bottom w:val="none" w:sz="0" w:space="0" w:color="auto"/>
        <w:right w:val="none" w:sz="0" w:space="0" w:color="auto"/>
      </w:divBdr>
      <w:divsChild>
        <w:div w:id="1619723271">
          <w:marLeft w:val="0"/>
          <w:marRight w:val="0"/>
          <w:marTop w:val="0"/>
          <w:marBottom w:val="0"/>
          <w:divBdr>
            <w:top w:val="none" w:sz="0" w:space="0" w:color="auto"/>
            <w:left w:val="none" w:sz="0" w:space="0" w:color="auto"/>
            <w:bottom w:val="none" w:sz="0" w:space="0" w:color="auto"/>
            <w:right w:val="none" w:sz="0" w:space="0" w:color="auto"/>
          </w:divBdr>
          <w:divsChild>
            <w:div w:id="29307436">
              <w:marLeft w:val="0"/>
              <w:marRight w:val="0"/>
              <w:marTop w:val="0"/>
              <w:marBottom w:val="0"/>
              <w:divBdr>
                <w:top w:val="none" w:sz="0" w:space="0" w:color="auto"/>
                <w:left w:val="none" w:sz="0" w:space="0" w:color="auto"/>
                <w:bottom w:val="none" w:sz="0" w:space="0" w:color="auto"/>
                <w:right w:val="none" w:sz="0" w:space="0" w:color="auto"/>
              </w:divBdr>
              <w:divsChild>
                <w:div w:id="18519177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39862934">
      <w:bodyDiv w:val="1"/>
      <w:marLeft w:val="0"/>
      <w:marRight w:val="0"/>
      <w:marTop w:val="0"/>
      <w:marBottom w:val="0"/>
      <w:divBdr>
        <w:top w:val="none" w:sz="0" w:space="0" w:color="auto"/>
        <w:left w:val="none" w:sz="0" w:space="0" w:color="auto"/>
        <w:bottom w:val="none" w:sz="0" w:space="0" w:color="auto"/>
        <w:right w:val="none" w:sz="0" w:space="0" w:color="auto"/>
      </w:divBdr>
    </w:div>
    <w:div w:id="1049259332">
      <w:bodyDiv w:val="1"/>
      <w:marLeft w:val="0"/>
      <w:marRight w:val="0"/>
      <w:marTop w:val="0"/>
      <w:marBottom w:val="0"/>
      <w:divBdr>
        <w:top w:val="none" w:sz="0" w:space="0" w:color="auto"/>
        <w:left w:val="none" w:sz="0" w:space="0" w:color="auto"/>
        <w:bottom w:val="none" w:sz="0" w:space="0" w:color="auto"/>
        <w:right w:val="none" w:sz="0" w:space="0" w:color="auto"/>
      </w:divBdr>
    </w:div>
    <w:div w:id="1051542067">
      <w:bodyDiv w:val="1"/>
      <w:marLeft w:val="0"/>
      <w:marRight w:val="0"/>
      <w:marTop w:val="0"/>
      <w:marBottom w:val="0"/>
      <w:divBdr>
        <w:top w:val="none" w:sz="0" w:space="0" w:color="auto"/>
        <w:left w:val="none" w:sz="0" w:space="0" w:color="auto"/>
        <w:bottom w:val="none" w:sz="0" w:space="0" w:color="auto"/>
        <w:right w:val="none" w:sz="0" w:space="0" w:color="auto"/>
      </w:divBdr>
    </w:div>
    <w:div w:id="1052580405">
      <w:bodyDiv w:val="1"/>
      <w:marLeft w:val="0"/>
      <w:marRight w:val="0"/>
      <w:marTop w:val="0"/>
      <w:marBottom w:val="0"/>
      <w:divBdr>
        <w:top w:val="none" w:sz="0" w:space="0" w:color="auto"/>
        <w:left w:val="none" w:sz="0" w:space="0" w:color="auto"/>
        <w:bottom w:val="none" w:sz="0" w:space="0" w:color="auto"/>
        <w:right w:val="none" w:sz="0" w:space="0" w:color="auto"/>
      </w:divBdr>
    </w:div>
    <w:div w:id="1053042242">
      <w:bodyDiv w:val="1"/>
      <w:marLeft w:val="0"/>
      <w:marRight w:val="0"/>
      <w:marTop w:val="0"/>
      <w:marBottom w:val="0"/>
      <w:divBdr>
        <w:top w:val="none" w:sz="0" w:space="0" w:color="auto"/>
        <w:left w:val="none" w:sz="0" w:space="0" w:color="auto"/>
        <w:bottom w:val="none" w:sz="0" w:space="0" w:color="auto"/>
        <w:right w:val="none" w:sz="0" w:space="0" w:color="auto"/>
      </w:divBdr>
    </w:div>
    <w:div w:id="1064259082">
      <w:bodyDiv w:val="1"/>
      <w:marLeft w:val="0"/>
      <w:marRight w:val="0"/>
      <w:marTop w:val="0"/>
      <w:marBottom w:val="0"/>
      <w:divBdr>
        <w:top w:val="none" w:sz="0" w:space="0" w:color="auto"/>
        <w:left w:val="none" w:sz="0" w:space="0" w:color="auto"/>
        <w:bottom w:val="none" w:sz="0" w:space="0" w:color="auto"/>
        <w:right w:val="none" w:sz="0" w:space="0" w:color="auto"/>
      </w:divBdr>
    </w:div>
    <w:div w:id="1072461378">
      <w:bodyDiv w:val="1"/>
      <w:marLeft w:val="0"/>
      <w:marRight w:val="0"/>
      <w:marTop w:val="0"/>
      <w:marBottom w:val="0"/>
      <w:divBdr>
        <w:top w:val="none" w:sz="0" w:space="0" w:color="auto"/>
        <w:left w:val="none" w:sz="0" w:space="0" w:color="auto"/>
        <w:bottom w:val="none" w:sz="0" w:space="0" w:color="auto"/>
        <w:right w:val="none" w:sz="0" w:space="0" w:color="auto"/>
      </w:divBdr>
    </w:div>
    <w:div w:id="1078484620">
      <w:bodyDiv w:val="1"/>
      <w:marLeft w:val="0"/>
      <w:marRight w:val="0"/>
      <w:marTop w:val="0"/>
      <w:marBottom w:val="0"/>
      <w:divBdr>
        <w:top w:val="none" w:sz="0" w:space="0" w:color="auto"/>
        <w:left w:val="none" w:sz="0" w:space="0" w:color="auto"/>
        <w:bottom w:val="none" w:sz="0" w:space="0" w:color="auto"/>
        <w:right w:val="none" w:sz="0" w:space="0" w:color="auto"/>
      </w:divBdr>
    </w:div>
    <w:div w:id="1082415992">
      <w:bodyDiv w:val="1"/>
      <w:marLeft w:val="0"/>
      <w:marRight w:val="0"/>
      <w:marTop w:val="0"/>
      <w:marBottom w:val="0"/>
      <w:divBdr>
        <w:top w:val="none" w:sz="0" w:space="0" w:color="auto"/>
        <w:left w:val="none" w:sz="0" w:space="0" w:color="auto"/>
        <w:bottom w:val="none" w:sz="0" w:space="0" w:color="auto"/>
        <w:right w:val="none" w:sz="0" w:space="0" w:color="auto"/>
      </w:divBdr>
    </w:div>
    <w:div w:id="1089159944">
      <w:bodyDiv w:val="1"/>
      <w:marLeft w:val="0"/>
      <w:marRight w:val="0"/>
      <w:marTop w:val="0"/>
      <w:marBottom w:val="0"/>
      <w:divBdr>
        <w:top w:val="none" w:sz="0" w:space="0" w:color="auto"/>
        <w:left w:val="none" w:sz="0" w:space="0" w:color="auto"/>
        <w:bottom w:val="none" w:sz="0" w:space="0" w:color="auto"/>
        <w:right w:val="none" w:sz="0" w:space="0" w:color="auto"/>
      </w:divBdr>
      <w:divsChild>
        <w:div w:id="1554073003">
          <w:marLeft w:val="150"/>
          <w:marRight w:val="150"/>
          <w:marTop w:val="300"/>
          <w:marBottom w:val="150"/>
          <w:divBdr>
            <w:top w:val="none" w:sz="0" w:space="0" w:color="auto"/>
            <w:left w:val="none" w:sz="0" w:space="0" w:color="auto"/>
            <w:bottom w:val="none" w:sz="0" w:space="0" w:color="auto"/>
            <w:right w:val="none" w:sz="0" w:space="0" w:color="auto"/>
          </w:divBdr>
        </w:div>
      </w:divsChild>
    </w:div>
    <w:div w:id="1113675385">
      <w:bodyDiv w:val="1"/>
      <w:marLeft w:val="0"/>
      <w:marRight w:val="0"/>
      <w:marTop w:val="0"/>
      <w:marBottom w:val="0"/>
      <w:divBdr>
        <w:top w:val="none" w:sz="0" w:space="0" w:color="auto"/>
        <w:left w:val="none" w:sz="0" w:space="0" w:color="auto"/>
        <w:bottom w:val="none" w:sz="0" w:space="0" w:color="auto"/>
        <w:right w:val="none" w:sz="0" w:space="0" w:color="auto"/>
      </w:divBdr>
    </w:div>
    <w:div w:id="1115834637">
      <w:bodyDiv w:val="1"/>
      <w:marLeft w:val="0"/>
      <w:marRight w:val="0"/>
      <w:marTop w:val="0"/>
      <w:marBottom w:val="0"/>
      <w:divBdr>
        <w:top w:val="none" w:sz="0" w:space="0" w:color="auto"/>
        <w:left w:val="none" w:sz="0" w:space="0" w:color="auto"/>
        <w:bottom w:val="none" w:sz="0" w:space="0" w:color="auto"/>
        <w:right w:val="none" w:sz="0" w:space="0" w:color="auto"/>
      </w:divBdr>
    </w:div>
    <w:div w:id="1120802018">
      <w:bodyDiv w:val="1"/>
      <w:marLeft w:val="0"/>
      <w:marRight w:val="0"/>
      <w:marTop w:val="0"/>
      <w:marBottom w:val="0"/>
      <w:divBdr>
        <w:top w:val="none" w:sz="0" w:space="0" w:color="auto"/>
        <w:left w:val="none" w:sz="0" w:space="0" w:color="auto"/>
        <w:bottom w:val="none" w:sz="0" w:space="0" w:color="auto"/>
        <w:right w:val="none" w:sz="0" w:space="0" w:color="auto"/>
      </w:divBdr>
    </w:div>
    <w:div w:id="1129667405">
      <w:bodyDiv w:val="1"/>
      <w:marLeft w:val="0"/>
      <w:marRight w:val="0"/>
      <w:marTop w:val="0"/>
      <w:marBottom w:val="0"/>
      <w:divBdr>
        <w:top w:val="none" w:sz="0" w:space="0" w:color="auto"/>
        <w:left w:val="none" w:sz="0" w:space="0" w:color="auto"/>
        <w:bottom w:val="none" w:sz="0" w:space="0" w:color="auto"/>
        <w:right w:val="none" w:sz="0" w:space="0" w:color="auto"/>
      </w:divBdr>
      <w:divsChild>
        <w:div w:id="2135638759">
          <w:marLeft w:val="0"/>
          <w:marRight w:val="0"/>
          <w:marTop w:val="0"/>
          <w:marBottom w:val="0"/>
          <w:divBdr>
            <w:top w:val="none" w:sz="0" w:space="0" w:color="auto"/>
            <w:left w:val="none" w:sz="0" w:space="0" w:color="auto"/>
            <w:bottom w:val="none" w:sz="0" w:space="0" w:color="auto"/>
            <w:right w:val="none" w:sz="0" w:space="0" w:color="auto"/>
          </w:divBdr>
          <w:divsChild>
            <w:div w:id="284847929">
              <w:marLeft w:val="0"/>
              <w:marRight w:val="0"/>
              <w:marTop w:val="0"/>
              <w:marBottom w:val="0"/>
              <w:divBdr>
                <w:top w:val="none" w:sz="0" w:space="0" w:color="auto"/>
                <w:left w:val="none" w:sz="0" w:space="0" w:color="auto"/>
                <w:bottom w:val="none" w:sz="0" w:space="0" w:color="auto"/>
                <w:right w:val="none" w:sz="0" w:space="0" w:color="auto"/>
              </w:divBdr>
              <w:divsChild>
                <w:div w:id="513886724">
                  <w:marLeft w:val="0"/>
                  <w:marRight w:val="0"/>
                  <w:marTop w:val="0"/>
                  <w:marBottom w:val="0"/>
                  <w:divBdr>
                    <w:top w:val="none" w:sz="0" w:space="0" w:color="auto"/>
                    <w:left w:val="none" w:sz="0" w:space="0" w:color="auto"/>
                    <w:bottom w:val="none" w:sz="0" w:space="0" w:color="auto"/>
                    <w:right w:val="none" w:sz="0" w:space="0" w:color="auto"/>
                  </w:divBdr>
                  <w:divsChild>
                    <w:div w:id="744452165">
                      <w:marLeft w:val="0"/>
                      <w:marRight w:val="0"/>
                      <w:marTop w:val="0"/>
                      <w:marBottom w:val="0"/>
                      <w:divBdr>
                        <w:top w:val="none" w:sz="0" w:space="0" w:color="auto"/>
                        <w:left w:val="none" w:sz="0" w:space="0" w:color="auto"/>
                        <w:bottom w:val="none" w:sz="0" w:space="0" w:color="auto"/>
                        <w:right w:val="none" w:sz="0" w:space="0" w:color="auto"/>
                      </w:divBdr>
                      <w:divsChild>
                        <w:div w:id="199919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3057253">
      <w:bodyDiv w:val="1"/>
      <w:marLeft w:val="0"/>
      <w:marRight w:val="0"/>
      <w:marTop w:val="0"/>
      <w:marBottom w:val="0"/>
      <w:divBdr>
        <w:top w:val="none" w:sz="0" w:space="0" w:color="auto"/>
        <w:left w:val="none" w:sz="0" w:space="0" w:color="auto"/>
        <w:bottom w:val="none" w:sz="0" w:space="0" w:color="auto"/>
        <w:right w:val="none" w:sz="0" w:space="0" w:color="auto"/>
      </w:divBdr>
    </w:div>
    <w:div w:id="1138693826">
      <w:bodyDiv w:val="1"/>
      <w:marLeft w:val="0"/>
      <w:marRight w:val="0"/>
      <w:marTop w:val="0"/>
      <w:marBottom w:val="0"/>
      <w:divBdr>
        <w:top w:val="none" w:sz="0" w:space="0" w:color="auto"/>
        <w:left w:val="none" w:sz="0" w:space="0" w:color="auto"/>
        <w:bottom w:val="none" w:sz="0" w:space="0" w:color="auto"/>
        <w:right w:val="none" w:sz="0" w:space="0" w:color="auto"/>
      </w:divBdr>
    </w:div>
    <w:div w:id="1139491662">
      <w:bodyDiv w:val="1"/>
      <w:marLeft w:val="0"/>
      <w:marRight w:val="0"/>
      <w:marTop w:val="0"/>
      <w:marBottom w:val="0"/>
      <w:divBdr>
        <w:top w:val="none" w:sz="0" w:space="0" w:color="auto"/>
        <w:left w:val="none" w:sz="0" w:space="0" w:color="auto"/>
        <w:bottom w:val="none" w:sz="0" w:space="0" w:color="auto"/>
        <w:right w:val="none" w:sz="0" w:space="0" w:color="auto"/>
      </w:divBdr>
    </w:div>
    <w:div w:id="1152911006">
      <w:bodyDiv w:val="1"/>
      <w:marLeft w:val="0"/>
      <w:marRight w:val="0"/>
      <w:marTop w:val="0"/>
      <w:marBottom w:val="0"/>
      <w:divBdr>
        <w:top w:val="none" w:sz="0" w:space="0" w:color="auto"/>
        <w:left w:val="none" w:sz="0" w:space="0" w:color="auto"/>
        <w:bottom w:val="none" w:sz="0" w:space="0" w:color="auto"/>
        <w:right w:val="none" w:sz="0" w:space="0" w:color="auto"/>
      </w:divBdr>
    </w:div>
    <w:div w:id="1159661549">
      <w:bodyDiv w:val="1"/>
      <w:marLeft w:val="0"/>
      <w:marRight w:val="0"/>
      <w:marTop w:val="0"/>
      <w:marBottom w:val="0"/>
      <w:divBdr>
        <w:top w:val="none" w:sz="0" w:space="0" w:color="auto"/>
        <w:left w:val="none" w:sz="0" w:space="0" w:color="auto"/>
        <w:bottom w:val="none" w:sz="0" w:space="0" w:color="auto"/>
        <w:right w:val="none" w:sz="0" w:space="0" w:color="auto"/>
      </w:divBdr>
    </w:div>
    <w:div w:id="1164080550">
      <w:bodyDiv w:val="1"/>
      <w:marLeft w:val="0"/>
      <w:marRight w:val="0"/>
      <w:marTop w:val="0"/>
      <w:marBottom w:val="0"/>
      <w:divBdr>
        <w:top w:val="none" w:sz="0" w:space="0" w:color="auto"/>
        <w:left w:val="none" w:sz="0" w:space="0" w:color="auto"/>
        <w:bottom w:val="none" w:sz="0" w:space="0" w:color="auto"/>
        <w:right w:val="none" w:sz="0" w:space="0" w:color="auto"/>
      </w:divBdr>
      <w:divsChild>
        <w:div w:id="66465570">
          <w:marLeft w:val="0"/>
          <w:marRight w:val="0"/>
          <w:marTop w:val="0"/>
          <w:marBottom w:val="0"/>
          <w:divBdr>
            <w:top w:val="none" w:sz="0" w:space="0" w:color="auto"/>
            <w:left w:val="none" w:sz="0" w:space="0" w:color="auto"/>
            <w:bottom w:val="none" w:sz="0" w:space="0" w:color="auto"/>
            <w:right w:val="none" w:sz="0" w:space="0" w:color="auto"/>
          </w:divBdr>
          <w:divsChild>
            <w:div w:id="578028834">
              <w:marLeft w:val="-225"/>
              <w:marRight w:val="-225"/>
              <w:marTop w:val="0"/>
              <w:marBottom w:val="0"/>
              <w:divBdr>
                <w:top w:val="none" w:sz="0" w:space="0" w:color="auto"/>
                <w:left w:val="none" w:sz="0" w:space="0" w:color="auto"/>
                <w:bottom w:val="none" w:sz="0" w:space="0" w:color="auto"/>
                <w:right w:val="none" w:sz="0" w:space="0" w:color="auto"/>
              </w:divBdr>
              <w:divsChild>
                <w:div w:id="212082584">
                  <w:marLeft w:val="0"/>
                  <w:marRight w:val="0"/>
                  <w:marTop w:val="0"/>
                  <w:marBottom w:val="0"/>
                  <w:divBdr>
                    <w:top w:val="none" w:sz="0" w:space="0" w:color="auto"/>
                    <w:left w:val="none" w:sz="0" w:space="0" w:color="auto"/>
                    <w:bottom w:val="none" w:sz="0" w:space="0" w:color="auto"/>
                    <w:right w:val="none" w:sz="0" w:space="0" w:color="auto"/>
                  </w:divBdr>
                  <w:divsChild>
                    <w:div w:id="704864770">
                      <w:marLeft w:val="0"/>
                      <w:marRight w:val="0"/>
                      <w:marTop w:val="0"/>
                      <w:marBottom w:val="0"/>
                      <w:divBdr>
                        <w:top w:val="none" w:sz="0" w:space="0" w:color="auto"/>
                        <w:left w:val="none" w:sz="0" w:space="0" w:color="auto"/>
                        <w:bottom w:val="none" w:sz="0" w:space="0" w:color="auto"/>
                        <w:right w:val="none" w:sz="0" w:space="0" w:color="auto"/>
                      </w:divBdr>
                      <w:divsChild>
                        <w:div w:id="2085029970">
                          <w:marLeft w:val="0"/>
                          <w:marRight w:val="0"/>
                          <w:marTop w:val="0"/>
                          <w:marBottom w:val="0"/>
                          <w:divBdr>
                            <w:top w:val="none" w:sz="0" w:space="0" w:color="auto"/>
                            <w:left w:val="none" w:sz="0" w:space="0" w:color="auto"/>
                            <w:bottom w:val="none" w:sz="0" w:space="0" w:color="auto"/>
                            <w:right w:val="none" w:sz="0" w:space="0" w:color="auto"/>
                          </w:divBdr>
                          <w:divsChild>
                            <w:div w:id="148350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0678469">
      <w:bodyDiv w:val="1"/>
      <w:marLeft w:val="0"/>
      <w:marRight w:val="0"/>
      <w:marTop w:val="0"/>
      <w:marBottom w:val="0"/>
      <w:divBdr>
        <w:top w:val="none" w:sz="0" w:space="0" w:color="auto"/>
        <w:left w:val="none" w:sz="0" w:space="0" w:color="auto"/>
        <w:bottom w:val="none" w:sz="0" w:space="0" w:color="auto"/>
        <w:right w:val="none" w:sz="0" w:space="0" w:color="auto"/>
      </w:divBdr>
    </w:div>
    <w:div w:id="1176115355">
      <w:bodyDiv w:val="1"/>
      <w:marLeft w:val="0"/>
      <w:marRight w:val="0"/>
      <w:marTop w:val="0"/>
      <w:marBottom w:val="0"/>
      <w:divBdr>
        <w:top w:val="none" w:sz="0" w:space="0" w:color="auto"/>
        <w:left w:val="none" w:sz="0" w:space="0" w:color="auto"/>
        <w:bottom w:val="none" w:sz="0" w:space="0" w:color="auto"/>
        <w:right w:val="none" w:sz="0" w:space="0" w:color="auto"/>
      </w:divBdr>
      <w:divsChild>
        <w:div w:id="51971114">
          <w:marLeft w:val="0"/>
          <w:marRight w:val="0"/>
          <w:marTop w:val="0"/>
          <w:marBottom w:val="0"/>
          <w:divBdr>
            <w:top w:val="none" w:sz="0" w:space="0" w:color="auto"/>
            <w:left w:val="none" w:sz="0" w:space="0" w:color="auto"/>
            <w:bottom w:val="none" w:sz="0" w:space="0" w:color="auto"/>
            <w:right w:val="none" w:sz="0" w:space="0" w:color="auto"/>
          </w:divBdr>
          <w:divsChild>
            <w:div w:id="1292899513">
              <w:marLeft w:val="-225"/>
              <w:marRight w:val="-225"/>
              <w:marTop w:val="0"/>
              <w:marBottom w:val="0"/>
              <w:divBdr>
                <w:top w:val="none" w:sz="0" w:space="0" w:color="auto"/>
                <w:left w:val="none" w:sz="0" w:space="0" w:color="auto"/>
                <w:bottom w:val="none" w:sz="0" w:space="0" w:color="auto"/>
                <w:right w:val="none" w:sz="0" w:space="0" w:color="auto"/>
              </w:divBdr>
              <w:divsChild>
                <w:div w:id="169137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273438">
      <w:bodyDiv w:val="1"/>
      <w:marLeft w:val="0"/>
      <w:marRight w:val="0"/>
      <w:marTop w:val="0"/>
      <w:marBottom w:val="0"/>
      <w:divBdr>
        <w:top w:val="none" w:sz="0" w:space="0" w:color="auto"/>
        <w:left w:val="none" w:sz="0" w:space="0" w:color="auto"/>
        <w:bottom w:val="none" w:sz="0" w:space="0" w:color="auto"/>
        <w:right w:val="none" w:sz="0" w:space="0" w:color="auto"/>
      </w:divBdr>
      <w:divsChild>
        <w:div w:id="693191416">
          <w:marLeft w:val="0"/>
          <w:marRight w:val="0"/>
          <w:marTop w:val="0"/>
          <w:marBottom w:val="0"/>
          <w:divBdr>
            <w:top w:val="none" w:sz="0" w:space="0" w:color="auto"/>
            <w:left w:val="none" w:sz="0" w:space="0" w:color="auto"/>
            <w:bottom w:val="none" w:sz="0" w:space="0" w:color="auto"/>
            <w:right w:val="none" w:sz="0" w:space="0" w:color="auto"/>
          </w:divBdr>
        </w:div>
      </w:divsChild>
    </w:div>
    <w:div w:id="1183857244">
      <w:bodyDiv w:val="1"/>
      <w:marLeft w:val="0"/>
      <w:marRight w:val="0"/>
      <w:marTop w:val="0"/>
      <w:marBottom w:val="0"/>
      <w:divBdr>
        <w:top w:val="none" w:sz="0" w:space="0" w:color="auto"/>
        <w:left w:val="none" w:sz="0" w:space="0" w:color="auto"/>
        <w:bottom w:val="none" w:sz="0" w:space="0" w:color="auto"/>
        <w:right w:val="none" w:sz="0" w:space="0" w:color="auto"/>
      </w:divBdr>
    </w:div>
    <w:div w:id="1184052260">
      <w:bodyDiv w:val="1"/>
      <w:marLeft w:val="0"/>
      <w:marRight w:val="0"/>
      <w:marTop w:val="0"/>
      <w:marBottom w:val="0"/>
      <w:divBdr>
        <w:top w:val="none" w:sz="0" w:space="0" w:color="auto"/>
        <w:left w:val="none" w:sz="0" w:space="0" w:color="auto"/>
        <w:bottom w:val="none" w:sz="0" w:space="0" w:color="auto"/>
        <w:right w:val="none" w:sz="0" w:space="0" w:color="auto"/>
      </w:divBdr>
      <w:divsChild>
        <w:div w:id="1375808722">
          <w:marLeft w:val="0"/>
          <w:marRight w:val="0"/>
          <w:marTop w:val="0"/>
          <w:marBottom w:val="0"/>
          <w:divBdr>
            <w:top w:val="none" w:sz="0" w:space="0" w:color="auto"/>
            <w:left w:val="none" w:sz="0" w:space="0" w:color="auto"/>
            <w:bottom w:val="none" w:sz="0" w:space="0" w:color="auto"/>
            <w:right w:val="none" w:sz="0" w:space="0" w:color="auto"/>
          </w:divBdr>
          <w:divsChild>
            <w:div w:id="90946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052945">
      <w:marLeft w:val="0"/>
      <w:marRight w:val="0"/>
      <w:marTop w:val="0"/>
      <w:marBottom w:val="0"/>
      <w:divBdr>
        <w:top w:val="none" w:sz="0" w:space="0" w:color="auto"/>
        <w:left w:val="none" w:sz="0" w:space="0" w:color="auto"/>
        <w:bottom w:val="none" w:sz="0" w:space="0" w:color="auto"/>
        <w:right w:val="none" w:sz="0" w:space="0" w:color="auto"/>
      </w:divBdr>
    </w:div>
    <w:div w:id="1197087124">
      <w:bodyDiv w:val="1"/>
      <w:marLeft w:val="0"/>
      <w:marRight w:val="0"/>
      <w:marTop w:val="0"/>
      <w:marBottom w:val="0"/>
      <w:divBdr>
        <w:top w:val="none" w:sz="0" w:space="0" w:color="auto"/>
        <w:left w:val="none" w:sz="0" w:space="0" w:color="auto"/>
        <w:bottom w:val="none" w:sz="0" w:space="0" w:color="auto"/>
        <w:right w:val="none" w:sz="0" w:space="0" w:color="auto"/>
      </w:divBdr>
    </w:div>
    <w:div w:id="1197619510">
      <w:bodyDiv w:val="1"/>
      <w:marLeft w:val="0"/>
      <w:marRight w:val="0"/>
      <w:marTop w:val="0"/>
      <w:marBottom w:val="0"/>
      <w:divBdr>
        <w:top w:val="none" w:sz="0" w:space="0" w:color="auto"/>
        <w:left w:val="none" w:sz="0" w:space="0" w:color="auto"/>
        <w:bottom w:val="none" w:sz="0" w:space="0" w:color="auto"/>
        <w:right w:val="none" w:sz="0" w:space="0" w:color="auto"/>
      </w:divBdr>
    </w:div>
    <w:div w:id="1216233649">
      <w:bodyDiv w:val="1"/>
      <w:marLeft w:val="0"/>
      <w:marRight w:val="0"/>
      <w:marTop w:val="0"/>
      <w:marBottom w:val="0"/>
      <w:divBdr>
        <w:top w:val="none" w:sz="0" w:space="0" w:color="auto"/>
        <w:left w:val="none" w:sz="0" w:space="0" w:color="auto"/>
        <w:bottom w:val="none" w:sz="0" w:space="0" w:color="auto"/>
        <w:right w:val="none" w:sz="0" w:space="0" w:color="auto"/>
      </w:divBdr>
    </w:div>
    <w:div w:id="1219971983">
      <w:bodyDiv w:val="1"/>
      <w:marLeft w:val="0"/>
      <w:marRight w:val="0"/>
      <w:marTop w:val="0"/>
      <w:marBottom w:val="0"/>
      <w:divBdr>
        <w:top w:val="none" w:sz="0" w:space="0" w:color="auto"/>
        <w:left w:val="none" w:sz="0" w:space="0" w:color="auto"/>
        <w:bottom w:val="none" w:sz="0" w:space="0" w:color="auto"/>
        <w:right w:val="none" w:sz="0" w:space="0" w:color="auto"/>
      </w:divBdr>
      <w:divsChild>
        <w:div w:id="725031262">
          <w:marLeft w:val="0"/>
          <w:marRight w:val="0"/>
          <w:marTop w:val="0"/>
          <w:marBottom w:val="0"/>
          <w:divBdr>
            <w:top w:val="none" w:sz="0" w:space="0" w:color="auto"/>
            <w:left w:val="none" w:sz="0" w:space="0" w:color="auto"/>
            <w:bottom w:val="none" w:sz="0" w:space="0" w:color="auto"/>
            <w:right w:val="none" w:sz="0" w:space="0" w:color="auto"/>
          </w:divBdr>
          <w:divsChild>
            <w:div w:id="260072292">
              <w:marLeft w:val="0"/>
              <w:marRight w:val="0"/>
              <w:marTop w:val="0"/>
              <w:marBottom w:val="0"/>
              <w:divBdr>
                <w:top w:val="none" w:sz="0" w:space="0" w:color="auto"/>
                <w:left w:val="none" w:sz="0" w:space="0" w:color="auto"/>
                <w:bottom w:val="none" w:sz="0" w:space="0" w:color="auto"/>
                <w:right w:val="none" w:sz="0" w:space="0" w:color="auto"/>
              </w:divBdr>
              <w:divsChild>
                <w:div w:id="1424448716">
                  <w:marLeft w:val="0"/>
                  <w:marRight w:val="0"/>
                  <w:marTop w:val="0"/>
                  <w:marBottom w:val="0"/>
                  <w:divBdr>
                    <w:top w:val="none" w:sz="0" w:space="0" w:color="auto"/>
                    <w:left w:val="none" w:sz="0" w:space="0" w:color="auto"/>
                    <w:bottom w:val="none" w:sz="0" w:space="0" w:color="auto"/>
                    <w:right w:val="none" w:sz="0" w:space="0" w:color="auto"/>
                  </w:divBdr>
                  <w:divsChild>
                    <w:div w:id="665521021">
                      <w:marLeft w:val="-225"/>
                      <w:marRight w:val="-225"/>
                      <w:marTop w:val="0"/>
                      <w:marBottom w:val="0"/>
                      <w:divBdr>
                        <w:top w:val="none" w:sz="0" w:space="0" w:color="auto"/>
                        <w:left w:val="none" w:sz="0" w:space="0" w:color="auto"/>
                        <w:bottom w:val="none" w:sz="0" w:space="0" w:color="auto"/>
                        <w:right w:val="none" w:sz="0" w:space="0" w:color="auto"/>
                      </w:divBdr>
                      <w:divsChild>
                        <w:div w:id="1917130074">
                          <w:marLeft w:val="0"/>
                          <w:marRight w:val="0"/>
                          <w:marTop w:val="0"/>
                          <w:marBottom w:val="0"/>
                          <w:divBdr>
                            <w:top w:val="none" w:sz="0" w:space="0" w:color="auto"/>
                            <w:left w:val="none" w:sz="0" w:space="0" w:color="auto"/>
                            <w:bottom w:val="none" w:sz="0" w:space="0" w:color="auto"/>
                            <w:right w:val="none" w:sz="0" w:space="0" w:color="auto"/>
                          </w:divBdr>
                          <w:divsChild>
                            <w:div w:id="126045609">
                              <w:marLeft w:val="0"/>
                              <w:marRight w:val="0"/>
                              <w:marTop w:val="0"/>
                              <w:marBottom w:val="0"/>
                              <w:divBdr>
                                <w:top w:val="none" w:sz="0" w:space="0" w:color="auto"/>
                                <w:left w:val="none" w:sz="0" w:space="0" w:color="auto"/>
                                <w:bottom w:val="none" w:sz="0" w:space="0" w:color="auto"/>
                                <w:right w:val="none" w:sz="0" w:space="0" w:color="auto"/>
                              </w:divBdr>
                              <w:divsChild>
                                <w:div w:id="1339498482">
                                  <w:marLeft w:val="0"/>
                                  <w:marRight w:val="0"/>
                                  <w:marTop w:val="0"/>
                                  <w:marBottom w:val="0"/>
                                  <w:divBdr>
                                    <w:top w:val="none" w:sz="0" w:space="0" w:color="auto"/>
                                    <w:left w:val="none" w:sz="0" w:space="0" w:color="auto"/>
                                    <w:bottom w:val="none" w:sz="0" w:space="0" w:color="auto"/>
                                    <w:right w:val="none" w:sz="0" w:space="0" w:color="auto"/>
                                  </w:divBdr>
                                  <w:divsChild>
                                    <w:div w:id="1117870025">
                                      <w:marLeft w:val="0"/>
                                      <w:marRight w:val="0"/>
                                      <w:marTop w:val="0"/>
                                      <w:marBottom w:val="0"/>
                                      <w:divBdr>
                                        <w:top w:val="none" w:sz="0" w:space="0" w:color="auto"/>
                                        <w:left w:val="none" w:sz="0" w:space="0" w:color="auto"/>
                                        <w:bottom w:val="none" w:sz="0" w:space="0" w:color="auto"/>
                                        <w:right w:val="none" w:sz="0" w:space="0" w:color="auto"/>
                                      </w:divBdr>
                                      <w:divsChild>
                                        <w:div w:id="2058774704">
                                          <w:marLeft w:val="0"/>
                                          <w:marRight w:val="0"/>
                                          <w:marTop w:val="0"/>
                                          <w:marBottom w:val="0"/>
                                          <w:divBdr>
                                            <w:top w:val="none" w:sz="0" w:space="0" w:color="auto"/>
                                            <w:left w:val="none" w:sz="0" w:space="0" w:color="auto"/>
                                            <w:bottom w:val="none" w:sz="0" w:space="0" w:color="auto"/>
                                            <w:right w:val="none" w:sz="0" w:space="0" w:color="auto"/>
                                          </w:divBdr>
                                          <w:divsChild>
                                            <w:div w:id="1908689405">
                                              <w:marLeft w:val="0"/>
                                              <w:marRight w:val="0"/>
                                              <w:marTop w:val="0"/>
                                              <w:marBottom w:val="0"/>
                                              <w:divBdr>
                                                <w:top w:val="none" w:sz="0" w:space="0" w:color="auto"/>
                                                <w:left w:val="none" w:sz="0" w:space="0" w:color="auto"/>
                                                <w:bottom w:val="none" w:sz="0" w:space="0" w:color="auto"/>
                                                <w:right w:val="none" w:sz="0" w:space="0" w:color="auto"/>
                                              </w:divBdr>
                                              <w:divsChild>
                                                <w:div w:id="2004316935">
                                                  <w:marLeft w:val="0"/>
                                                  <w:marRight w:val="0"/>
                                                  <w:marTop w:val="0"/>
                                                  <w:marBottom w:val="0"/>
                                                  <w:divBdr>
                                                    <w:top w:val="none" w:sz="0" w:space="0" w:color="auto"/>
                                                    <w:left w:val="none" w:sz="0" w:space="0" w:color="auto"/>
                                                    <w:bottom w:val="none" w:sz="0" w:space="0" w:color="auto"/>
                                                    <w:right w:val="none" w:sz="0" w:space="0" w:color="auto"/>
                                                  </w:divBdr>
                                                  <w:divsChild>
                                                    <w:div w:id="1905600318">
                                                      <w:marLeft w:val="0"/>
                                                      <w:marRight w:val="0"/>
                                                      <w:marTop w:val="0"/>
                                                      <w:marBottom w:val="0"/>
                                                      <w:divBdr>
                                                        <w:top w:val="none" w:sz="0" w:space="0" w:color="auto"/>
                                                        <w:left w:val="none" w:sz="0" w:space="0" w:color="auto"/>
                                                        <w:bottom w:val="none" w:sz="0" w:space="0" w:color="auto"/>
                                                        <w:right w:val="none" w:sz="0" w:space="0" w:color="auto"/>
                                                      </w:divBdr>
                                                      <w:divsChild>
                                                        <w:div w:id="1520771628">
                                                          <w:marLeft w:val="0"/>
                                                          <w:marRight w:val="0"/>
                                                          <w:marTop w:val="0"/>
                                                          <w:marBottom w:val="0"/>
                                                          <w:divBdr>
                                                            <w:top w:val="none" w:sz="0" w:space="0" w:color="auto"/>
                                                            <w:left w:val="none" w:sz="0" w:space="0" w:color="auto"/>
                                                            <w:bottom w:val="none" w:sz="0" w:space="0" w:color="auto"/>
                                                            <w:right w:val="none" w:sz="0" w:space="0" w:color="auto"/>
                                                          </w:divBdr>
                                                          <w:divsChild>
                                                            <w:div w:id="1716810092">
                                                              <w:marLeft w:val="0"/>
                                                              <w:marRight w:val="0"/>
                                                              <w:marTop w:val="0"/>
                                                              <w:marBottom w:val="0"/>
                                                              <w:divBdr>
                                                                <w:top w:val="none" w:sz="0" w:space="0" w:color="auto"/>
                                                                <w:left w:val="none" w:sz="0" w:space="0" w:color="auto"/>
                                                                <w:bottom w:val="none" w:sz="0" w:space="0" w:color="auto"/>
                                                                <w:right w:val="none" w:sz="0" w:space="0" w:color="auto"/>
                                                              </w:divBdr>
                                                              <w:divsChild>
                                                                <w:div w:id="61540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22138275">
      <w:bodyDiv w:val="1"/>
      <w:marLeft w:val="0"/>
      <w:marRight w:val="0"/>
      <w:marTop w:val="0"/>
      <w:marBottom w:val="0"/>
      <w:divBdr>
        <w:top w:val="none" w:sz="0" w:space="0" w:color="auto"/>
        <w:left w:val="none" w:sz="0" w:space="0" w:color="auto"/>
        <w:bottom w:val="none" w:sz="0" w:space="0" w:color="auto"/>
        <w:right w:val="none" w:sz="0" w:space="0" w:color="auto"/>
      </w:divBdr>
      <w:divsChild>
        <w:div w:id="48068875">
          <w:marLeft w:val="0"/>
          <w:marRight w:val="0"/>
          <w:marTop w:val="0"/>
          <w:marBottom w:val="0"/>
          <w:divBdr>
            <w:top w:val="none" w:sz="0" w:space="0" w:color="auto"/>
            <w:left w:val="none" w:sz="0" w:space="0" w:color="auto"/>
            <w:bottom w:val="none" w:sz="0" w:space="0" w:color="auto"/>
            <w:right w:val="none" w:sz="0" w:space="0" w:color="auto"/>
          </w:divBdr>
          <w:divsChild>
            <w:div w:id="107899228">
              <w:marLeft w:val="0"/>
              <w:marRight w:val="0"/>
              <w:marTop w:val="100"/>
              <w:marBottom w:val="100"/>
              <w:divBdr>
                <w:top w:val="none" w:sz="0" w:space="0" w:color="auto"/>
                <w:left w:val="none" w:sz="0" w:space="0" w:color="auto"/>
                <w:bottom w:val="none" w:sz="0" w:space="0" w:color="auto"/>
                <w:right w:val="none" w:sz="0" w:space="0" w:color="auto"/>
              </w:divBdr>
              <w:divsChild>
                <w:div w:id="276836996">
                  <w:marLeft w:val="0"/>
                  <w:marRight w:val="0"/>
                  <w:marTop w:val="0"/>
                  <w:marBottom w:val="0"/>
                  <w:divBdr>
                    <w:top w:val="none" w:sz="0" w:space="0" w:color="auto"/>
                    <w:left w:val="none" w:sz="0" w:space="0" w:color="auto"/>
                    <w:bottom w:val="none" w:sz="0" w:space="0" w:color="auto"/>
                    <w:right w:val="none" w:sz="0" w:space="0" w:color="auto"/>
                  </w:divBdr>
                  <w:divsChild>
                    <w:div w:id="409473346">
                      <w:marLeft w:val="0"/>
                      <w:marRight w:val="0"/>
                      <w:marTop w:val="300"/>
                      <w:marBottom w:val="0"/>
                      <w:divBdr>
                        <w:top w:val="none" w:sz="0" w:space="0" w:color="auto"/>
                        <w:left w:val="none" w:sz="0" w:space="0" w:color="auto"/>
                        <w:bottom w:val="none" w:sz="0" w:space="0" w:color="auto"/>
                        <w:right w:val="none" w:sz="0" w:space="0" w:color="auto"/>
                      </w:divBdr>
                      <w:divsChild>
                        <w:div w:id="765617957">
                          <w:marLeft w:val="0"/>
                          <w:marRight w:val="0"/>
                          <w:marTop w:val="0"/>
                          <w:marBottom w:val="0"/>
                          <w:divBdr>
                            <w:top w:val="none" w:sz="0" w:space="0" w:color="auto"/>
                            <w:left w:val="none" w:sz="0" w:space="0" w:color="auto"/>
                            <w:bottom w:val="none" w:sz="0" w:space="0" w:color="auto"/>
                            <w:right w:val="none" w:sz="0" w:space="0" w:color="auto"/>
                          </w:divBdr>
                          <w:divsChild>
                            <w:div w:id="1182865017">
                              <w:marLeft w:val="0"/>
                              <w:marRight w:val="0"/>
                              <w:marTop w:val="0"/>
                              <w:marBottom w:val="0"/>
                              <w:divBdr>
                                <w:top w:val="none" w:sz="0" w:space="0" w:color="auto"/>
                                <w:left w:val="none" w:sz="0" w:space="0" w:color="auto"/>
                                <w:bottom w:val="none" w:sz="0" w:space="0" w:color="auto"/>
                                <w:right w:val="none" w:sz="0" w:space="0" w:color="auto"/>
                              </w:divBdr>
                              <w:divsChild>
                                <w:div w:id="1935943241">
                                  <w:marLeft w:val="0"/>
                                  <w:marRight w:val="0"/>
                                  <w:marTop w:val="0"/>
                                  <w:marBottom w:val="0"/>
                                  <w:divBdr>
                                    <w:top w:val="none" w:sz="0" w:space="0" w:color="auto"/>
                                    <w:left w:val="none" w:sz="0" w:space="0" w:color="auto"/>
                                    <w:bottom w:val="none" w:sz="0" w:space="0" w:color="auto"/>
                                    <w:right w:val="none" w:sz="0" w:space="0" w:color="auto"/>
                                  </w:divBdr>
                                  <w:divsChild>
                                    <w:div w:id="1270355799">
                                      <w:marLeft w:val="0"/>
                                      <w:marRight w:val="0"/>
                                      <w:marTop w:val="0"/>
                                      <w:marBottom w:val="0"/>
                                      <w:divBdr>
                                        <w:top w:val="none" w:sz="0" w:space="0" w:color="auto"/>
                                        <w:left w:val="none" w:sz="0" w:space="0" w:color="auto"/>
                                        <w:bottom w:val="none" w:sz="0" w:space="0" w:color="auto"/>
                                        <w:right w:val="none" w:sz="0" w:space="0" w:color="auto"/>
                                      </w:divBdr>
                                      <w:divsChild>
                                        <w:div w:id="1227381371">
                                          <w:marLeft w:val="0"/>
                                          <w:marRight w:val="0"/>
                                          <w:marTop w:val="0"/>
                                          <w:marBottom w:val="0"/>
                                          <w:divBdr>
                                            <w:top w:val="none" w:sz="0" w:space="0" w:color="auto"/>
                                            <w:left w:val="none" w:sz="0" w:space="0" w:color="auto"/>
                                            <w:bottom w:val="none" w:sz="0" w:space="0" w:color="auto"/>
                                            <w:right w:val="none" w:sz="0" w:space="0" w:color="auto"/>
                                          </w:divBdr>
                                          <w:divsChild>
                                            <w:div w:id="1496146479">
                                              <w:marLeft w:val="0"/>
                                              <w:marRight w:val="0"/>
                                              <w:marTop w:val="0"/>
                                              <w:marBottom w:val="0"/>
                                              <w:divBdr>
                                                <w:top w:val="none" w:sz="0" w:space="0" w:color="auto"/>
                                                <w:left w:val="none" w:sz="0" w:space="0" w:color="auto"/>
                                                <w:bottom w:val="none" w:sz="0" w:space="0" w:color="auto"/>
                                                <w:right w:val="none" w:sz="0" w:space="0" w:color="auto"/>
                                              </w:divBdr>
                                              <w:divsChild>
                                                <w:div w:id="1226453681">
                                                  <w:marLeft w:val="0"/>
                                                  <w:marRight w:val="0"/>
                                                  <w:marTop w:val="0"/>
                                                  <w:marBottom w:val="0"/>
                                                  <w:divBdr>
                                                    <w:top w:val="none" w:sz="0" w:space="0" w:color="auto"/>
                                                    <w:left w:val="none" w:sz="0" w:space="0" w:color="auto"/>
                                                    <w:bottom w:val="none" w:sz="0" w:space="0" w:color="auto"/>
                                                    <w:right w:val="none" w:sz="0" w:space="0" w:color="auto"/>
                                                  </w:divBdr>
                                                  <w:divsChild>
                                                    <w:div w:id="204945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4869058">
      <w:bodyDiv w:val="1"/>
      <w:marLeft w:val="0"/>
      <w:marRight w:val="0"/>
      <w:marTop w:val="0"/>
      <w:marBottom w:val="0"/>
      <w:divBdr>
        <w:top w:val="none" w:sz="0" w:space="0" w:color="auto"/>
        <w:left w:val="none" w:sz="0" w:space="0" w:color="auto"/>
        <w:bottom w:val="none" w:sz="0" w:space="0" w:color="auto"/>
        <w:right w:val="none" w:sz="0" w:space="0" w:color="auto"/>
      </w:divBdr>
      <w:divsChild>
        <w:div w:id="1393889817">
          <w:marLeft w:val="0"/>
          <w:marRight w:val="0"/>
          <w:marTop w:val="0"/>
          <w:marBottom w:val="0"/>
          <w:divBdr>
            <w:top w:val="none" w:sz="0" w:space="0" w:color="auto"/>
            <w:left w:val="none" w:sz="0" w:space="0" w:color="auto"/>
            <w:bottom w:val="none" w:sz="0" w:space="0" w:color="auto"/>
            <w:right w:val="none" w:sz="0" w:space="0" w:color="auto"/>
          </w:divBdr>
        </w:div>
      </w:divsChild>
    </w:div>
    <w:div w:id="1230919519">
      <w:bodyDiv w:val="1"/>
      <w:marLeft w:val="0"/>
      <w:marRight w:val="0"/>
      <w:marTop w:val="0"/>
      <w:marBottom w:val="0"/>
      <w:divBdr>
        <w:top w:val="none" w:sz="0" w:space="0" w:color="auto"/>
        <w:left w:val="none" w:sz="0" w:space="0" w:color="auto"/>
        <w:bottom w:val="none" w:sz="0" w:space="0" w:color="auto"/>
        <w:right w:val="none" w:sz="0" w:space="0" w:color="auto"/>
      </w:divBdr>
    </w:div>
    <w:div w:id="1232042698">
      <w:bodyDiv w:val="1"/>
      <w:marLeft w:val="0"/>
      <w:marRight w:val="0"/>
      <w:marTop w:val="0"/>
      <w:marBottom w:val="0"/>
      <w:divBdr>
        <w:top w:val="none" w:sz="0" w:space="0" w:color="auto"/>
        <w:left w:val="none" w:sz="0" w:space="0" w:color="auto"/>
        <w:bottom w:val="none" w:sz="0" w:space="0" w:color="auto"/>
        <w:right w:val="none" w:sz="0" w:space="0" w:color="auto"/>
      </w:divBdr>
    </w:div>
    <w:div w:id="1239972558">
      <w:bodyDiv w:val="1"/>
      <w:marLeft w:val="0"/>
      <w:marRight w:val="0"/>
      <w:marTop w:val="0"/>
      <w:marBottom w:val="0"/>
      <w:divBdr>
        <w:top w:val="none" w:sz="0" w:space="0" w:color="auto"/>
        <w:left w:val="none" w:sz="0" w:space="0" w:color="auto"/>
        <w:bottom w:val="none" w:sz="0" w:space="0" w:color="auto"/>
        <w:right w:val="none" w:sz="0" w:space="0" w:color="auto"/>
      </w:divBdr>
    </w:div>
    <w:div w:id="1241452681">
      <w:bodyDiv w:val="1"/>
      <w:marLeft w:val="0"/>
      <w:marRight w:val="0"/>
      <w:marTop w:val="0"/>
      <w:marBottom w:val="0"/>
      <w:divBdr>
        <w:top w:val="none" w:sz="0" w:space="0" w:color="auto"/>
        <w:left w:val="none" w:sz="0" w:space="0" w:color="auto"/>
        <w:bottom w:val="none" w:sz="0" w:space="0" w:color="auto"/>
        <w:right w:val="none" w:sz="0" w:space="0" w:color="auto"/>
      </w:divBdr>
    </w:div>
    <w:div w:id="1253011972">
      <w:bodyDiv w:val="1"/>
      <w:marLeft w:val="0"/>
      <w:marRight w:val="0"/>
      <w:marTop w:val="0"/>
      <w:marBottom w:val="0"/>
      <w:divBdr>
        <w:top w:val="none" w:sz="0" w:space="0" w:color="auto"/>
        <w:left w:val="none" w:sz="0" w:space="0" w:color="auto"/>
        <w:bottom w:val="none" w:sz="0" w:space="0" w:color="auto"/>
        <w:right w:val="none" w:sz="0" w:space="0" w:color="auto"/>
      </w:divBdr>
    </w:div>
    <w:div w:id="1253590127">
      <w:bodyDiv w:val="1"/>
      <w:marLeft w:val="0"/>
      <w:marRight w:val="0"/>
      <w:marTop w:val="0"/>
      <w:marBottom w:val="0"/>
      <w:divBdr>
        <w:top w:val="none" w:sz="0" w:space="0" w:color="auto"/>
        <w:left w:val="none" w:sz="0" w:space="0" w:color="auto"/>
        <w:bottom w:val="none" w:sz="0" w:space="0" w:color="auto"/>
        <w:right w:val="none" w:sz="0" w:space="0" w:color="auto"/>
      </w:divBdr>
      <w:divsChild>
        <w:div w:id="1967589495">
          <w:marLeft w:val="0"/>
          <w:marRight w:val="0"/>
          <w:marTop w:val="0"/>
          <w:marBottom w:val="0"/>
          <w:divBdr>
            <w:top w:val="none" w:sz="0" w:space="0" w:color="auto"/>
            <w:left w:val="none" w:sz="0" w:space="0" w:color="auto"/>
            <w:bottom w:val="none" w:sz="0" w:space="0" w:color="auto"/>
            <w:right w:val="none" w:sz="0" w:space="0" w:color="auto"/>
          </w:divBdr>
        </w:div>
      </w:divsChild>
    </w:div>
    <w:div w:id="1256747769">
      <w:bodyDiv w:val="1"/>
      <w:marLeft w:val="0"/>
      <w:marRight w:val="0"/>
      <w:marTop w:val="0"/>
      <w:marBottom w:val="0"/>
      <w:divBdr>
        <w:top w:val="none" w:sz="0" w:space="0" w:color="auto"/>
        <w:left w:val="none" w:sz="0" w:space="0" w:color="auto"/>
        <w:bottom w:val="none" w:sz="0" w:space="0" w:color="auto"/>
        <w:right w:val="none" w:sz="0" w:space="0" w:color="auto"/>
      </w:divBdr>
      <w:divsChild>
        <w:div w:id="1480271089">
          <w:marLeft w:val="0"/>
          <w:marRight w:val="0"/>
          <w:marTop w:val="0"/>
          <w:marBottom w:val="0"/>
          <w:divBdr>
            <w:top w:val="none" w:sz="0" w:space="0" w:color="auto"/>
            <w:left w:val="none" w:sz="0" w:space="0" w:color="auto"/>
            <w:bottom w:val="none" w:sz="0" w:space="0" w:color="auto"/>
            <w:right w:val="none" w:sz="0" w:space="0" w:color="auto"/>
          </w:divBdr>
          <w:divsChild>
            <w:div w:id="1566329977">
              <w:marLeft w:val="0"/>
              <w:marRight w:val="0"/>
              <w:marTop w:val="0"/>
              <w:marBottom w:val="0"/>
              <w:divBdr>
                <w:top w:val="none" w:sz="0" w:space="0" w:color="auto"/>
                <w:left w:val="none" w:sz="0" w:space="0" w:color="auto"/>
                <w:bottom w:val="none" w:sz="0" w:space="0" w:color="auto"/>
                <w:right w:val="none" w:sz="0" w:space="0" w:color="auto"/>
              </w:divBdr>
              <w:divsChild>
                <w:div w:id="794641148">
                  <w:marLeft w:val="0"/>
                  <w:marRight w:val="0"/>
                  <w:marTop w:val="0"/>
                  <w:marBottom w:val="0"/>
                  <w:divBdr>
                    <w:top w:val="none" w:sz="0" w:space="0" w:color="auto"/>
                    <w:left w:val="none" w:sz="0" w:space="0" w:color="auto"/>
                    <w:bottom w:val="none" w:sz="0" w:space="0" w:color="auto"/>
                    <w:right w:val="none" w:sz="0" w:space="0" w:color="auto"/>
                  </w:divBdr>
                  <w:divsChild>
                    <w:div w:id="2050379022">
                      <w:marLeft w:val="0"/>
                      <w:marRight w:val="0"/>
                      <w:marTop w:val="0"/>
                      <w:marBottom w:val="0"/>
                      <w:divBdr>
                        <w:top w:val="none" w:sz="0" w:space="0" w:color="auto"/>
                        <w:left w:val="none" w:sz="0" w:space="0" w:color="auto"/>
                        <w:bottom w:val="none" w:sz="0" w:space="0" w:color="auto"/>
                        <w:right w:val="none" w:sz="0" w:space="0" w:color="auto"/>
                      </w:divBdr>
                      <w:divsChild>
                        <w:div w:id="1289436744">
                          <w:marLeft w:val="0"/>
                          <w:marRight w:val="0"/>
                          <w:marTop w:val="0"/>
                          <w:marBottom w:val="0"/>
                          <w:divBdr>
                            <w:top w:val="none" w:sz="0" w:space="0" w:color="auto"/>
                            <w:left w:val="none" w:sz="0" w:space="0" w:color="auto"/>
                            <w:bottom w:val="none" w:sz="0" w:space="0" w:color="auto"/>
                            <w:right w:val="none" w:sz="0" w:space="0" w:color="auto"/>
                          </w:divBdr>
                          <w:divsChild>
                            <w:div w:id="1099368163">
                              <w:marLeft w:val="0"/>
                              <w:marRight w:val="0"/>
                              <w:marTop w:val="0"/>
                              <w:marBottom w:val="0"/>
                              <w:divBdr>
                                <w:top w:val="none" w:sz="0" w:space="0" w:color="auto"/>
                                <w:left w:val="none" w:sz="0" w:space="0" w:color="auto"/>
                                <w:bottom w:val="none" w:sz="0" w:space="0" w:color="auto"/>
                                <w:right w:val="none" w:sz="0" w:space="0" w:color="auto"/>
                              </w:divBdr>
                              <w:divsChild>
                                <w:div w:id="1485202577">
                                  <w:marLeft w:val="0"/>
                                  <w:marRight w:val="0"/>
                                  <w:marTop w:val="0"/>
                                  <w:marBottom w:val="0"/>
                                  <w:divBdr>
                                    <w:top w:val="none" w:sz="0" w:space="0" w:color="auto"/>
                                    <w:left w:val="none" w:sz="0" w:space="0" w:color="auto"/>
                                    <w:bottom w:val="none" w:sz="0" w:space="0" w:color="auto"/>
                                    <w:right w:val="none" w:sz="0" w:space="0" w:color="auto"/>
                                  </w:divBdr>
                                  <w:divsChild>
                                    <w:div w:id="745229129">
                                      <w:marLeft w:val="0"/>
                                      <w:marRight w:val="0"/>
                                      <w:marTop w:val="0"/>
                                      <w:marBottom w:val="0"/>
                                      <w:divBdr>
                                        <w:top w:val="none" w:sz="0" w:space="0" w:color="auto"/>
                                        <w:left w:val="none" w:sz="0" w:space="0" w:color="auto"/>
                                        <w:bottom w:val="none" w:sz="0" w:space="0" w:color="auto"/>
                                        <w:right w:val="none" w:sz="0" w:space="0" w:color="auto"/>
                                      </w:divBdr>
                                      <w:divsChild>
                                        <w:div w:id="1888951476">
                                          <w:marLeft w:val="0"/>
                                          <w:marRight w:val="0"/>
                                          <w:marTop w:val="0"/>
                                          <w:marBottom w:val="0"/>
                                          <w:divBdr>
                                            <w:top w:val="none" w:sz="0" w:space="0" w:color="auto"/>
                                            <w:left w:val="none" w:sz="0" w:space="0" w:color="auto"/>
                                            <w:bottom w:val="none" w:sz="0" w:space="0" w:color="auto"/>
                                            <w:right w:val="none" w:sz="0" w:space="0" w:color="auto"/>
                                          </w:divBdr>
                                          <w:divsChild>
                                            <w:div w:id="1671251719">
                                              <w:marLeft w:val="0"/>
                                              <w:marRight w:val="0"/>
                                              <w:marTop w:val="0"/>
                                              <w:marBottom w:val="0"/>
                                              <w:divBdr>
                                                <w:top w:val="none" w:sz="0" w:space="0" w:color="auto"/>
                                                <w:left w:val="none" w:sz="0" w:space="0" w:color="auto"/>
                                                <w:bottom w:val="none" w:sz="0" w:space="0" w:color="auto"/>
                                                <w:right w:val="none" w:sz="0" w:space="0" w:color="auto"/>
                                              </w:divBdr>
                                              <w:divsChild>
                                                <w:div w:id="1727416591">
                                                  <w:marLeft w:val="0"/>
                                                  <w:marRight w:val="0"/>
                                                  <w:marTop w:val="0"/>
                                                  <w:marBottom w:val="0"/>
                                                  <w:divBdr>
                                                    <w:top w:val="none" w:sz="0" w:space="0" w:color="auto"/>
                                                    <w:left w:val="none" w:sz="0" w:space="0" w:color="auto"/>
                                                    <w:bottom w:val="none" w:sz="0" w:space="0" w:color="auto"/>
                                                    <w:right w:val="none" w:sz="0" w:space="0" w:color="auto"/>
                                                  </w:divBdr>
                                                  <w:divsChild>
                                                    <w:div w:id="198858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1790453">
      <w:bodyDiv w:val="1"/>
      <w:marLeft w:val="0"/>
      <w:marRight w:val="0"/>
      <w:marTop w:val="0"/>
      <w:marBottom w:val="0"/>
      <w:divBdr>
        <w:top w:val="none" w:sz="0" w:space="0" w:color="auto"/>
        <w:left w:val="none" w:sz="0" w:space="0" w:color="auto"/>
        <w:bottom w:val="none" w:sz="0" w:space="0" w:color="auto"/>
        <w:right w:val="none" w:sz="0" w:space="0" w:color="auto"/>
      </w:divBdr>
    </w:div>
    <w:div w:id="1271743970">
      <w:bodyDiv w:val="1"/>
      <w:marLeft w:val="0"/>
      <w:marRight w:val="0"/>
      <w:marTop w:val="0"/>
      <w:marBottom w:val="0"/>
      <w:divBdr>
        <w:top w:val="none" w:sz="0" w:space="0" w:color="auto"/>
        <w:left w:val="none" w:sz="0" w:space="0" w:color="auto"/>
        <w:bottom w:val="none" w:sz="0" w:space="0" w:color="auto"/>
        <w:right w:val="none" w:sz="0" w:space="0" w:color="auto"/>
      </w:divBdr>
    </w:div>
    <w:div w:id="1284263426">
      <w:bodyDiv w:val="1"/>
      <w:marLeft w:val="0"/>
      <w:marRight w:val="0"/>
      <w:marTop w:val="0"/>
      <w:marBottom w:val="0"/>
      <w:divBdr>
        <w:top w:val="none" w:sz="0" w:space="0" w:color="auto"/>
        <w:left w:val="none" w:sz="0" w:space="0" w:color="auto"/>
        <w:bottom w:val="none" w:sz="0" w:space="0" w:color="auto"/>
        <w:right w:val="none" w:sz="0" w:space="0" w:color="auto"/>
      </w:divBdr>
    </w:div>
    <w:div w:id="1292395297">
      <w:bodyDiv w:val="1"/>
      <w:marLeft w:val="0"/>
      <w:marRight w:val="0"/>
      <w:marTop w:val="0"/>
      <w:marBottom w:val="0"/>
      <w:divBdr>
        <w:top w:val="none" w:sz="0" w:space="0" w:color="auto"/>
        <w:left w:val="none" w:sz="0" w:space="0" w:color="auto"/>
        <w:bottom w:val="none" w:sz="0" w:space="0" w:color="auto"/>
        <w:right w:val="none" w:sz="0" w:space="0" w:color="auto"/>
      </w:divBdr>
    </w:div>
    <w:div w:id="1292906549">
      <w:bodyDiv w:val="1"/>
      <w:marLeft w:val="0"/>
      <w:marRight w:val="0"/>
      <w:marTop w:val="0"/>
      <w:marBottom w:val="0"/>
      <w:divBdr>
        <w:top w:val="none" w:sz="0" w:space="0" w:color="auto"/>
        <w:left w:val="none" w:sz="0" w:space="0" w:color="auto"/>
        <w:bottom w:val="none" w:sz="0" w:space="0" w:color="auto"/>
        <w:right w:val="none" w:sz="0" w:space="0" w:color="auto"/>
      </w:divBdr>
    </w:div>
    <w:div w:id="1299797143">
      <w:bodyDiv w:val="1"/>
      <w:marLeft w:val="0"/>
      <w:marRight w:val="0"/>
      <w:marTop w:val="0"/>
      <w:marBottom w:val="0"/>
      <w:divBdr>
        <w:top w:val="none" w:sz="0" w:space="0" w:color="auto"/>
        <w:left w:val="none" w:sz="0" w:space="0" w:color="auto"/>
        <w:bottom w:val="none" w:sz="0" w:space="0" w:color="auto"/>
        <w:right w:val="none" w:sz="0" w:space="0" w:color="auto"/>
      </w:divBdr>
    </w:div>
    <w:div w:id="1311863609">
      <w:bodyDiv w:val="1"/>
      <w:marLeft w:val="0"/>
      <w:marRight w:val="0"/>
      <w:marTop w:val="0"/>
      <w:marBottom w:val="0"/>
      <w:divBdr>
        <w:top w:val="none" w:sz="0" w:space="0" w:color="auto"/>
        <w:left w:val="none" w:sz="0" w:space="0" w:color="auto"/>
        <w:bottom w:val="none" w:sz="0" w:space="0" w:color="auto"/>
        <w:right w:val="none" w:sz="0" w:space="0" w:color="auto"/>
      </w:divBdr>
    </w:div>
    <w:div w:id="1313439303">
      <w:bodyDiv w:val="1"/>
      <w:marLeft w:val="0"/>
      <w:marRight w:val="0"/>
      <w:marTop w:val="0"/>
      <w:marBottom w:val="0"/>
      <w:divBdr>
        <w:top w:val="none" w:sz="0" w:space="0" w:color="auto"/>
        <w:left w:val="none" w:sz="0" w:space="0" w:color="auto"/>
        <w:bottom w:val="none" w:sz="0" w:space="0" w:color="auto"/>
        <w:right w:val="none" w:sz="0" w:space="0" w:color="auto"/>
      </w:divBdr>
    </w:div>
    <w:div w:id="1326317585">
      <w:bodyDiv w:val="1"/>
      <w:marLeft w:val="0"/>
      <w:marRight w:val="0"/>
      <w:marTop w:val="0"/>
      <w:marBottom w:val="0"/>
      <w:divBdr>
        <w:top w:val="none" w:sz="0" w:space="0" w:color="auto"/>
        <w:left w:val="none" w:sz="0" w:space="0" w:color="auto"/>
        <w:bottom w:val="none" w:sz="0" w:space="0" w:color="auto"/>
        <w:right w:val="none" w:sz="0" w:space="0" w:color="auto"/>
      </w:divBdr>
    </w:div>
    <w:div w:id="1333332784">
      <w:bodyDiv w:val="1"/>
      <w:marLeft w:val="0"/>
      <w:marRight w:val="0"/>
      <w:marTop w:val="0"/>
      <w:marBottom w:val="0"/>
      <w:divBdr>
        <w:top w:val="none" w:sz="0" w:space="0" w:color="auto"/>
        <w:left w:val="none" w:sz="0" w:space="0" w:color="auto"/>
        <w:bottom w:val="none" w:sz="0" w:space="0" w:color="auto"/>
        <w:right w:val="none" w:sz="0" w:space="0" w:color="auto"/>
      </w:divBdr>
      <w:divsChild>
        <w:div w:id="1100761120">
          <w:marLeft w:val="0"/>
          <w:marRight w:val="0"/>
          <w:marTop w:val="0"/>
          <w:marBottom w:val="0"/>
          <w:divBdr>
            <w:top w:val="none" w:sz="0" w:space="0" w:color="auto"/>
            <w:left w:val="none" w:sz="0" w:space="0" w:color="auto"/>
            <w:bottom w:val="none" w:sz="0" w:space="0" w:color="auto"/>
            <w:right w:val="none" w:sz="0" w:space="0" w:color="auto"/>
          </w:divBdr>
          <w:divsChild>
            <w:div w:id="87400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348011">
      <w:bodyDiv w:val="1"/>
      <w:marLeft w:val="0"/>
      <w:marRight w:val="0"/>
      <w:marTop w:val="0"/>
      <w:marBottom w:val="0"/>
      <w:divBdr>
        <w:top w:val="none" w:sz="0" w:space="0" w:color="auto"/>
        <w:left w:val="none" w:sz="0" w:space="0" w:color="auto"/>
        <w:bottom w:val="none" w:sz="0" w:space="0" w:color="auto"/>
        <w:right w:val="none" w:sz="0" w:space="0" w:color="auto"/>
      </w:divBdr>
    </w:div>
    <w:div w:id="1339120801">
      <w:bodyDiv w:val="1"/>
      <w:marLeft w:val="0"/>
      <w:marRight w:val="0"/>
      <w:marTop w:val="0"/>
      <w:marBottom w:val="0"/>
      <w:divBdr>
        <w:top w:val="none" w:sz="0" w:space="0" w:color="auto"/>
        <w:left w:val="none" w:sz="0" w:space="0" w:color="auto"/>
        <w:bottom w:val="none" w:sz="0" w:space="0" w:color="auto"/>
        <w:right w:val="none" w:sz="0" w:space="0" w:color="auto"/>
      </w:divBdr>
    </w:div>
    <w:div w:id="1345742877">
      <w:bodyDiv w:val="1"/>
      <w:marLeft w:val="0"/>
      <w:marRight w:val="0"/>
      <w:marTop w:val="0"/>
      <w:marBottom w:val="0"/>
      <w:divBdr>
        <w:top w:val="none" w:sz="0" w:space="0" w:color="auto"/>
        <w:left w:val="none" w:sz="0" w:space="0" w:color="auto"/>
        <w:bottom w:val="none" w:sz="0" w:space="0" w:color="auto"/>
        <w:right w:val="none" w:sz="0" w:space="0" w:color="auto"/>
      </w:divBdr>
    </w:div>
    <w:div w:id="1351175344">
      <w:bodyDiv w:val="1"/>
      <w:marLeft w:val="0"/>
      <w:marRight w:val="0"/>
      <w:marTop w:val="0"/>
      <w:marBottom w:val="0"/>
      <w:divBdr>
        <w:top w:val="none" w:sz="0" w:space="0" w:color="auto"/>
        <w:left w:val="none" w:sz="0" w:space="0" w:color="auto"/>
        <w:bottom w:val="none" w:sz="0" w:space="0" w:color="auto"/>
        <w:right w:val="none" w:sz="0" w:space="0" w:color="auto"/>
      </w:divBdr>
    </w:div>
    <w:div w:id="1356032941">
      <w:bodyDiv w:val="1"/>
      <w:marLeft w:val="0"/>
      <w:marRight w:val="0"/>
      <w:marTop w:val="0"/>
      <w:marBottom w:val="0"/>
      <w:divBdr>
        <w:top w:val="none" w:sz="0" w:space="0" w:color="auto"/>
        <w:left w:val="none" w:sz="0" w:space="0" w:color="auto"/>
        <w:bottom w:val="none" w:sz="0" w:space="0" w:color="auto"/>
        <w:right w:val="none" w:sz="0" w:space="0" w:color="auto"/>
      </w:divBdr>
    </w:div>
    <w:div w:id="1358777896">
      <w:bodyDiv w:val="1"/>
      <w:marLeft w:val="0"/>
      <w:marRight w:val="0"/>
      <w:marTop w:val="0"/>
      <w:marBottom w:val="0"/>
      <w:divBdr>
        <w:top w:val="none" w:sz="0" w:space="0" w:color="auto"/>
        <w:left w:val="none" w:sz="0" w:space="0" w:color="auto"/>
        <w:bottom w:val="none" w:sz="0" w:space="0" w:color="auto"/>
        <w:right w:val="none" w:sz="0" w:space="0" w:color="auto"/>
      </w:divBdr>
    </w:div>
    <w:div w:id="1361316961">
      <w:bodyDiv w:val="1"/>
      <w:marLeft w:val="0"/>
      <w:marRight w:val="0"/>
      <w:marTop w:val="0"/>
      <w:marBottom w:val="0"/>
      <w:divBdr>
        <w:top w:val="none" w:sz="0" w:space="0" w:color="auto"/>
        <w:left w:val="none" w:sz="0" w:space="0" w:color="auto"/>
        <w:bottom w:val="none" w:sz="0" w:space="0" w:color="auto"/>
        <w:right w:val="none" w:sz="0" w:space="0" w:color="auto"/>
      </w:divBdr>
      <w:divsChild>
        <w:div w:id="913472277">
          <w:marLeft w:val="0"/>
          <w:marRight w:val="0"/>
          <w:marTop w:val="0"/>
          <w:marBottom w:val="0"/>
          <w:divBdr>
            <w:top w:val="none" w:sz="0" w:space="0" w:color="auto"/>
            <w:left w:val="none" w:sz="0" w:space="0" w:color="auto"/>
            <w:bottom w:val="none" w:sz="0" w:space="0" w:color="auto"/>
            <w:right w:val="none" w:sz="0" w:space="0" w:color="auto"/>
          </w:divBdr>
          <w:divsChild>
            <w:div w:id="41944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562306">
      <w:bodyDiv w:val="1"/>
      <w:marLeft w:val="0"/>
      <w:marRight w:val="0"/>
      <w:marTop w:val="0"/>
      <w:marBottom w:val="0"/>
      <w:divBdr>
        <w:top w:val="none" w:sz="0" w:space="0" w:color="auto"/>
        <w:left w:val="none" w:sz="0" w:space="0" w:color="auto"/>
        <w:bottom w:val="none" w:sz="0" w:space="0" w:color="auto"/>
        <w:right w:val="none" w:sz="0" w:space="0" w:color="auto"/>
      </w:divBdr>
      <w:divsChild>
        <w:div w:id="1955671934">
          <w:marLeft w:val="0"/>
          <w:marRight w:val="0"/>
          <w:marTop w:val="0"/>
          <w:marBottom w:val="0"/>
          <w:divBdr>
            <w:top w:val="none" w:sz="0" w:space="0" w:color="auto"/>
            <w:left w:val="none" w:sz="0" w:space="0" w:color="auto"/>
            <w:bottom w:val="none" w:sz="0" w:space="0" w:color="auto"/>
            <w:right w:val="none" w:sz="0" w:space="0" w:color="auto"/>
          </w:divBdr>
          <w:divsChild>
            <w:div w:id="29845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357576">
      <w:bodyDiv w:val="1"/>
      <w:marLeft w:val="0"/>
      <w:marRight w:val="0"/>
      <w:marTop w:val="0"/>
      <w:marBottom w:val="0"/>
      <w:divBdr>
        <w:top w:val="none" w:sz="0" w:space="0" w:color="auto"/>
        <w:left w:val="none" w:sz="0" w:space="0" w:color="auto"/>
        <w:bottom w:val="none" w:sz="0" w:space="0" w:color="auto"/>
        <w:right w:val="none" w:sz="0" w:space="0" w:color="auto"/>
      </w:divBdr>
    </w:div>
    <w:div w:id="1387990598">
      <w:bodyDiv w:val="1"/>
      <w:marLeft w:val="0"/>
      <w:marRight w:val="0"/>
      <w:marTop w:val="0"/>
      <w:marBottom w:val="0"/>
      <w:divBdr>
        <w:top w:val="none" w:sz="0" w:space="0" w:color="auto"/>
        <w:left w:val="none" w:sz="0" w:space="0" w:color="auto"/>
        <w:bottom w:val="none" w:sz="0" w:space="0" w:color="auto"/>
        <w:right w:val="none" w:sz="0" w:space="0" w:color="auto"/>
      </w:divBdr>
    </w:div>
    <w:div w:id="1398673508">
      <w:bodyDiv w:val="1"/>
      <w:marLeft w:val="0"/>
      <w:marRight w:val="0"/>
      <w:marTop w:val="0"/>
      <w:marBottom w:val="0"/>
      <w:divBdr>
        <w:top w:val="none" w:sz="0" w:space="0" w:color="auto"/>
        <w:left w:val="none" w:sz="0" w:space="0" w:color="auto"/>
        <w:bottom w:val="none" w:sz="0" w:space="0" w:color="auto"/>
        <w:right w:val="none" w:sz="0" w:space="0" w:color="auto"/>
      </w:divBdr>
    </w:div>
    <w:div w:id="1399985636">
      <w:bodyDiv w:val="1"/>
      <w:marLeft w:val="0"/>
      <w:marRight w:val="0"/>
      <w:marTop w:val="0"/>
      <w:marBottom w:val="0"/>
      <w:divBdr>
        <w:top w:val="none" w:sz="0" w:space="0" w:color="auto"/>
        <w:left w:val="none" w:sz="0" w:space="0" w:color="auto"/>
        <w:bottom w:val="none" w:sz="0" w:space="0" w:color="auto"/>
        <w:right w:val="none" w:sz="0" w:space="0" w:color="auto"/>
      </w:divBdr>
    </w:div>
    <w:div w:id="1407651776">
      <w:bodyDiv w:val="1"/>
      <w:marLeft w:val="0"/>
      <w:marRight w:val="0"/>
      <w:marTop w:val="0"/>
      <w:marBottom w:val="0"/>
      <w:divBdr>
        <w:top w:val="none" w:sz="0" w:space="0" w:color="auto"/>
        <w:left w:val="none" w:sz="0" w:space="0" w:color="auto"/>
        <w:bottom w:val="none" w:sz="0" w:space="0" w:color="auto"/>
        <w:right w:val="none" w:sz="0" w:space="0" w:color="auto"/>
      </w:divBdr>
      <w:divsChild>
        <w:div w:id="28069125">
          <w:marLeft w:val="0"/>
          <w:marRight w:val="0"/>
          <w:marTop w:val="0"/>
          <w:marBottom w:val="0"/>
          <w:divBdr>
            <w:top w:val="none" w:sz="0" w:space="0" w:color="auto"/>
            <w:left w:val="none" w:sz="0" w:space="0" w:color="auto"/>
            <w:bottom w:val="none" w:sz="0" w:space="0" w:color="auto"/>
            <w:right w:val="none" w:sz="0" w:space="0" w:color="auto"/>
          </w:divBdr>
        </w:div>
      </w:divsChild>
    </w:div>
    <w:div w:id="1415857949">
      <w:bodyDiv w:val="1"/>
      <w:marLeft w:val="0"/>
      <w:marRight w:val="0"/>
      <w:marTop w:val="0"/>
      <w:marBottom w:val="0"/>
      <w:divBdr>
        <w:top w:val="none" w:sz="0" w:space="0" w:color="auto"/>
        <w:left w:val="none" w:sz="0" w:space="0" w:color="auto"/>
        <w:bottom w:val="none" w:sz="0" w:space="0" w:color="auto"/>
        <w:right w:val="none" w:sz="0" w:space="0" w:color="auto"/>
      </w:divBdr>
      <w:divsChild>
        <w:div w:id="747725196">
          <w:marLeft w:val="0"/>
          <w:marRight w:val="0"/>
          <w:marTop w:val="0"/>
          <w:marBottom w:val="0"/>
          <w:divBdr>
            <w:top w:val="none" w:sz="0" w:space="0" w:color="auto"/>
            <w:left w:val="none" w:sz="0" w:space="0" w:color="auto"/>
            <w:bottom w:val="none" w:sz="0" w:space="0" w:color="auto"/>
            <w:right w:val="none" w:sz="0" w:space="0" w:color="auto"/>
          </w:divBdr>
        </w:div>
      </w:divsChild>
    </w:div>
    <w:div w:id="1420787363">
      <w:bodyDiv w:val="1"/>
      <w:marLeft w:val="0"/>
      <w:marRight w:val="0"/>
      <w:marTop w:val="0"/>
      <w:marBottom w:val="0"/>
      <w:divBdr>
        <w:top w:val="none" w:sz="0" w:space="0" w:color="auto"/>
        <w:left w:val="none" w:sz="0" w:space="0" w:color="auto"/>
        <w:bottom w:val="none" w:sz="0" w:space="0" w:color="auto"/>
        <w:right w:val="none" w:sz="0" w:space="0" w:color="auto"/>
      </w:divBdr>
    </w:div>
    <w:div w:id="1425224673">
      <w:bodyDiv w:val="1"/>
      <w:marLeft w:val="0"/>
      <w:marRight w:val="0"/>
      <w:marTop w:val="0"/>
      <w:marBottom w:val="0"/>
      <w:divBdr>
        <w:top w:val="none" w:sz="0" w:space="0" w:color="auto"/>
        <w:left w:val="none" w:sz="0" w:space="0" w:color="auto"/>
        <w:bottom w:val="none" w:sz="0" w:space="0" w:color="auto"/>
        <w:right w:val="none" w:sz="0" w:space="0" w:color="auto"/>
      </w:divBdr>
    </w:div>
    <w:div w:id="1435591578">
      <w:bodyDiv w:val="1"/>
      <w:marLeft w:val="0"/>
      <w:marRight w:val="0"/>
      <w:marTop w:val="0"/>
      <w:marBottom w:val="0"/>
      <w:divBdr>
        <w:top w:val="none" w:sz="0" w:space="0" w:color="auto"/>
        <w:left w:val="none" w:sz="0" w:space="0" w:color="auto"/>
        <w:bottom w:val="none" w:sz="0" w:space="0" w:color="auto"/>
        <w:right w:val="none" w:sz="0" w:space="0" w:color="auto"/>
      </w:divBdr>
    </w:div>
    <w:div w:id="1436515392">
      <w:bodyDiv w:val="1"/>
      <w:marLeft w:val="0"/>
      <w:marRight w:val="0"/>
      <w:marTop w:val="0"/>
      <w:marBottom w:val="0"/>
      <w:divBdr>
        <w:top w:val="none" w:sz="0" w:space="0" w:color="auto"/>
        <w:left w:val="none" w:sz="0" w:space="0" w:color="auto"/>
        <w:bottom w:val="none" w:sz="0" w:space="0" w:color="auto"/>
        <w:right w:val="none" w:sz="0" w:space="0" w:color="auto"/>
      </w:divBdr>
    </w:div>
    <w:div w:id="1437169532">
      <w:bodyDiv w:val="1"/>
      <w:marLeft w:val="0"/>
      <w:marRight w:val="0"/>
      <w:marTop w:val="0"/>
      <w:marBottom w:val="0"/>
      <w:divBdr>
        <w:top w:val="none" w:sz="0" w:space="0" w:color="auto"/>
        <w:left w:val="none" w:sz="0" w:space="0" w:color="auto"/>
        <w:bottom w:val="none" w:sz="0" w:space="0" w:color="auto"/>
        <w:right w:val="none" w:sz="0" w:space="0" w:color="auto"/>
      </w:divBdr>
    </w:div>
    <w:div w:id="1441757526">
      <w:bodyDiv w:val="1"/>
      <w:marLeft w:val="0"/>
      <w:marRight w:val="0"/>
      <w:marTop w:val="0"/>
      <w:marBottom w:val="0"/>
      <w:divBdr>
        <w:top w:val="none" w:sz="0" w:space="0" w:color="auto"/>
        <w:left w:val="none" w:sz="0" w:space="0" w:color="auto"/>
        <w:bottom w:val="none" w:sz="0" w:space="0" w:color="auto"/>
        <w:right w:val="none" w:sz="0" w:space="0" w:color="auto"/>
      </w:divBdr>
    </w:div>
    <w:div w:id="1445812006">
      <w:marLeft w:val="0"/>
      <w:marRight w:val="0"/>
      <w:marTop w:val="0"/>
      <w:marBottom w:val="0"/>
      <w:divBdr>
        <w:top w:val="none" w:sz="0" w:space="0" w:color="auto"/>
        <w:left w:val="none" w:sz="0" w:space="0" w:color="auto"/>
        <w:bottom w:val="none" w:sz="0" w:space="0" w:color="auto"/>
        <w:right w:val="none" w:sz="0" w:space="0" w:color="auto"/>
      </w:divBdr>
    </w:div>
    <w:div w:id="1447194475">
      <w:bodyDiv w:val="1"/>
      <w:marLeft w:val="0"/>
      <w:marRight w:val="0"/>
      <w:marTop w:val="0"/>
      <w:marBottom w:val="0"/>
      <w:divBdr>
        <w:top w:val="none" w:sz="0" w:space="0" w:color="auto"/>
        <w:left w:val="none" w:sz="0" w:space="0" w:color="auto"/>
        <w:bottom w:val="none" w:sz="0" w:space="0" w:color="auto"/>
        <w:right w:val="none" w:sz="0" w:space="0" w:color="auto"/>
      </w:divBdr>
    </w:div>
    <w:div w:id="1456216107">
      <w:bodyDiv w:val="1"/>
      <w:marLeft w:val="0"/>
      <w:marRight w:val="0"/>
      <w:marTop w:val="0"/>
      <w:marBottom w:val="0"/>
      <w:divBdr>
        <w:top w:val="none" w:sz="0" w:space="0" w:color="auto"/>
        <w:left w:val="none" w:sz="0" w:space="0" w:color="auto"/>
        <w:bottom w:val="none" w:sz="0" w:space="0" w:color="auto"/>
        <w:right w:val="none" w:sz="0" w:space="0" w:color="auto"/>
      </w:divBdr>
    </w:div>
    <w:div w:id="1468859549">
      <w:marLeft w:val="0"/>
      <w:marRight w:val="0"/>
      <w:marTop w:val="0"/>
      <w:marBottom w:val="0"/>
      <w:divBdr>
        <w:top w:val="none" w:sz="0" w:space="0" w:color="auto"/>
        <w:left w:val="none" w:sz="0" w:space="0" w:color="auto"/>
        <w:bottom w:val="none" w:sz="0" w:space="0" w:color="auto"/>
        <w:right w:val="none" w:sz="0" w:space="0" w:color="auto"/>
      </w:divBdr>
      <w:divsChild>
        <w:div w:id="55981833">
          <w:marLeft w:val="0"/>
          <w:marRight w:val="0"/>
          <w:marTop w:val="0"/>
          <w:marBottom w:val="0"/>
          <w:divBdr>
            <w:top w:val="none" w:sz="0" w:space="0" w:color="auto"/>
            <w:left w:val="none" w:sz="0" w:space="0" w:color="auto"/>
            <w:bottom w:val="none" w:sz="0" w:space="0" w:color="auto"/>
            <w:right w:val="none" w:sz="0" w:space="0" w:color="auto"/>
          </w:divBdr>
          <w:divsChild>
            <w:div w:id="792091037">
              <w:marLeft w:val="0"/>
              <w:marRight w:val="0"/>
              <w:marTop w:val="0"/>
              <w:marBottom w:val="0"/>
              <w:divBdr>
                <w:top w:val="none" w:sz="0" w:space="0" w:color="auto"/>
                <w:left w:val="none" w:sz="0" w:space="0" w:color="auto"/>
                <w:bottom w:val="none" w:sz="0" w:space="0" w:color="auto"/>
                <w:right w:val="none" w:sz="0" w:space="0" w:color="auto"/>
              </w:divBdr>
            </w:div>
          </w:divsChild>
        </w:div>
        <w:div w:id="958679835">
          <w:marLeft w:val="0"/>
          <w:marRight w:val="0"/>
          <w:marTop w:val="0"/>
          <w:marBottom w:val="0"/>
          <w:divBdr>
            <w:top w:val="none" w:sz="0" w:space="0" w:color="auto"/>
            <w:left w:val="none" w:sz="0" w:space="0" w:color="auto"/>
            <w:bottom w:val="none" w:sz="0" w:space="0" w:color="auto"/>
            <w:right w:val="none" w:sz="0" w:space="0" w:color="auto"/>
          </w:divBdr>
          <w:divsChild>
            <w:div w:id="969870392">
              <w:marLeft w:val="0"/>
              <w:marRight w:val="0"/>
              <w:marTop w:val="0"/>
              <w:marBottom w:val="0"/>
              <w:divBdr>
                <w:top w:val="none" w:sz="0" w:space="0" w:color="auto"/>
                <w:left w:val="none" w:sz="0" w:space="0" w:color="auto"/>
                <w:bottom w:val="none" w:sz="0" w:space="0" w:color="auto"/>
                <w:right w:val="none" w:sz="0" w:space="0" w:color="auto"/>
              </w:divBdr>
              <w:divsChild>
                <w:div w:id="2057460427">
                  <w:marLeft w:val="0"/>
                  <w:marRight w:val="0"/>
                  <w:marTop w:val="0"/>
                  <w:marBottom w:val="0"/>
                  <w:divBdr>
                    <w:top w:val="none" w:sz="0" w:space="0" w:color="auto"/>
                    <w:left w:val="none" w:sz="0" w:space="0" w:color="auto"/>
                    <w:bottom w:val="none" w:sz="0" w:space="0" w:color="auto"/>
                    <w:right w:val="none" w:sz="0" w:space="0" w:color="auto"/>
                  </w:divBdr>
                  <w:divsChild>
                    <w:div w:id="88429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3985845">
      <w:bodyDiv w:val="1"/>
      <w:marLeft w:val="0"/>
      <w:marRight w:val="0"/>
      <w:marTop w:val="0"/>
      <w:marBottom w:val="0"/>
      <w:divBdr>
        <w:top w:val="none" w:sz="0" w:space="0" w:color="auto"/>
        <w:left w:val="none" w:sz="0" w:space="0" w:color="auto"/>
        <w:bottom w:val="none" w:sz="0" w:space="0" w:color="auto"/>
        <w:right w:val="none" w:sz="0" w:space="0" w:color="auto"/>
      </w:divBdr>
      <w:divsChild>
        <w:div w:id="178198395">
          <w:marLeft w:val="0"/>
          <w:marRight w:val="0"/>
          <w:marTop w:val="0"/>
          <w:marBottom w:val="0"/>
          <w:divBdr>
            <w:top w:val="none" w:sz="0" w:space="0" w:color="auto"/>
            <w:left w:val="none" w:sz="0" w:space="0" w:color="auto"/>
            <w:bottom w:val="none" w:sz="0" w:space="0" w:color="auto"/>
            <w:right w:val="none" w:sz="0" w:space="0" w:color="auto"/>
          </w:divBdr>
          <w:divsChild>
            <w:div w:id="176445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339262">
      <w:bodyDiv w:val="1"/>
      <w:marLeft w:val="0"/>
      <w:marRight w:val="0"/>
      <w:marTop w:val="0"/>
      <w:marBottom w:val="0"/>
      <w:divBdr>
        <w:top w:val="none" w:sz="0" w:space="0" w:color="auto"/>
        <w:left w:val="none" w:sz="0" w:space="0" w:color="auto"/>
        <w:bottom w:val="none" w:sz="0" w:space="0" w:color="auto"/>
        <w:right w:val="none" w:sz="0" w:space="0" w:color="auto"/>
      </w:divBdr>
    </w:div>
    <w:div w:id="1491872223">
      <w:bodyDiv w:val="1"/>
      <w:marLeft w:val="0"/>
      <w:marRight w:val="0"/>
      <w:marTop w:val="0"/>
      <w:marBottom w:val="0"/>
      <w:divBdr>
        <w:top w:val="none" w:sz="0" w:space="0" w:color="auto"/>
        <w:left w:val="none" w:sz="0" w:space="0" w:color="auto"/>
        <w:bottom w:val="none" w:sz="0" w:space="0" w:color="auto"/>
        <w:right w:val="none" w:sz="0" w:space="0" w:color="auto"/>
      </w:divBdr>
    </w:div>
    <w:div w:id="1494833112">
      <w:bodyDiv w:val="1"/>
      <w:marLeft w:val="0"/>
      <w:marRight w:val="0"/>
      <w:marTop w:val="0"/>
      <w:marBottom w:val="0"/>
      <w:divBdr>
        <w:top w:val="none" w:sz="0" w:space="0" w:color="auto"/>
        <w:left w:val="none" w:sz="0" w:space="0" w:color="auto"/>
        <w:bottom w:val="none" w:sz="0" w:space="0" w:color="auto"/>
        <w:right w:val="none" w:sz="0" w:space="0" w:color="auto"/>
      </w:divBdr>
    </w:div>
    <w:div w:id="1495799058">
      <w:bodyDiv w:val="1"/>
      <w:marLeft w:val="0"/>
      <w:marRight w:val="0"/>
      <w:marTop w:val="0"/>
      <w:marBottom w:val="0"/>
      <w:divBdr>
        <w:top w:val="none" w:sz="0" w:space="0" w:color="auto"/>
        <w:left w:val="none" w:sz="0" w:space="0" w:color="auto"/>
        <w:bottom w:val="none" w:sz="0" w:space="0" w:color="auto"/>
        <w:right w:val="none" w:sz="0" w:space="0" w:color="auto"/>
      </w:divBdr>
      <w:divsChild>
        <w:div w:id="58596319">
          <w:marLeft w:val="0"/>
          <w:marRight w:val="0"/>
          <w:marTop w:val="0"/>
          <w:marBottom w:val="0"/>
          <w:divBdr>
            <w:top w:val="none" w:sz="0" w:space="0" w:color="auto"/>
            <w:left w:val="none" w:sz="0" w:space="0" w:color="auto"/>
            <w:bottom w:val="none" w:sz="0" w:space="0" w:color="auto"/>
            <w:right w:val="none" w:sz="0" w:space="0" w:color="auto"/>
          </w:divBdr>
          <w:divsChild>
            <w:div w:id="1066613364">
              <w:marLeft w:val="0"/>
              <w:marRight w:val="0"/>
              <w:marTop w:val="0"/>
              <w:marBottom w:val="0"/>
              <w:divBdr>
                <w:top w:val="none" w:sz="0" w:space="0" w:color="auto"/>
                <w:left w:val="none" w:sz="0" w:space="0" w:color="auto"/>
                <w:bottom w:val="none" w:sz="0" w:space="0" w:color="auto"/>
                <w:right w:val="none" w:sz="0" w:space="0" w:color="auto"/>
              </w:divBdr>
              <w:divsChild>
                <w:div w:id="2088917036">
                  <w:marLeft w:val="0"/>
                  <w:marRight w:val="0"/>
                  <w:marTop w:val="0"/>
                  <w:marBottom w:val="0"/>
                  <w:divBdr>
                    <w:top w:val="none" w:sz="0" w:space="0" w:color="auto"/>
                    <w:left w:val="none" w:sz="0" w:space="0" w:color="auto"/>
                    <w:bottom w:val="none" w:sz="0" w:space="0" w:color="auto"/>
                    <w:right w:val="none" w:sz="0" w:space="0" w:color="auto"/>
                  </w:divBdr>
                  <w:divsChild>
                    <w:div w:id="1595240719">
                      <w:marLeft w:val="-225"/>
                      <w:marRight w:val="-225"/>
                      <w:marTop w:val="0"/>
                      <w:marBottom w:val="0"/>
                      <w:divBdr>
                        <w:top w:val="none" w:sz="0" w:space="0" w:color="auto"/>
                        <w:left w:val="none" w:sz="0" w:space="0" w:color="auto"/>
                        <w:bottom w:val="none" w:sz="0" w:space="0" w:color="auto"/>
                        <w:right w:val="none" w:sz="0" w:space="0" w:color="auto"/>
                      </w:divBdr>
                      <w:divsChild>
                        <w:div w:id="734158744">
                          <w:marLeft w:val="0"/>
                          <w:marRight w:val="0"/>
                          <w:marTop w:val="0"/>
                          <w:marBottom w:val="0"/>
                          <w:divBdr>
                            <w:top w:val="none" w:sz="0" w:space="0" w:color="auto"/>
                            <w:left w:val="none" w:sz="0" w:space="0" w:color="auto"/>
                            <w:bottom w:val="none" w:sz="0" w:space="0" w:color="auto"/>
                            <w:right w:val="none" w:sz="0" w:space="0" w:color="auto"/>
                          </w:divBdr>
                          <w:divsChild>
                            <w:div w:id="1010571207">
                              <w:marLeft w:val="0"/>
                              <w:marRight w:val="0"/>
                              <w:marTop w:val="0"/>
                              <w:marBottom w:val="0"/>
                              <w:divBdr>
                                <w:top w:val="none" w:sz="0" w:space="0" w:color="auto"/>
                                <w:left w:val="none" w:sz="0" w:space="0" w:color="auto"/>
                                <w:bottom w:val="none" w:sz="0" w:space="0" w:color="auto"/>
                                <w:right w:val="none" w:sz="0" w:space="0" w:color="auto"/>
                              </w:divBdr>
                              <w:divsChild>
                                <w:div w:id="209194690">
                                  <w:marLeft w:val="0"/>
                                  <w:marRight w:val="0"/>
                                  <w:marTop w:val="0"/>
                                  <w:marBottom w:val="0"/>
                                  <w:divBdr>
                                    <w:top w:val="none" w:sz="0" w:space="0" w:color="auto"/>
                                    <w:left w:val="none" w:sz="0" w:space="0" w:color="auto"/>
                                    <w:bottom w:val="none" w:sz="0" w:space="0" w:color="auto"/>
                                    <w:right w:val="none" w:sz="0" w:space="0" w:color="auto"/>
                                  </w:divBdr>
                                  <w:divsChild>
                                    <w:div w:id="976958992">
                                      <w:marLeft w:val="0"/>
                                      <w:marRight w:val="0"/>
                                      <w:marTop w:val="0"/>
                                      <w:marBottom w:val="0"/>
                                      <w:divBdr>
                                        <w:top w:val="none" w:sz="0" w:space="0" w:color="auto"/>
                                        <w:left w:val="none" w:sz="0" w:space="0" w:color="auto"/>
                                        <w:bottom w:val="none" w:sz="0" w:space="0" w:color="auto"/>
                                        <w:right w:val="none" w:sz="0" w:space="0" w:color="auto"/>
                                      </w:divBdr>
                                      <w:divsChild>
                                        <w:div w:id="1915041237">
                                          <w:marLeft w:val="0"/>
                                          <w:marRight w:val="0"/>
                                          <w:marTop w:val="0"/>
                                          <w:marBottom w:val="0"/>
                                          <w:divBdr>
                                            <w:top w:val="none" w:sz="0" w:space="0" w:color="auto"/>
                                            <w:left w:val="none" w:sz="0" w:space="0" w:color="auto"/>
                                            <w:bottom w:val="none" w:sz="0" w:space="0" w:color="auto"/>
                                            <w:right w:val="none" w:sz="0" w:space="0" w:color="auto"/>
                                          </w:divBdr>
                                          <w:divsChild>
                                            <w:div w:id="1544248883">
                                              <w:marLeft w:val="0"/>
                                              <w:marRight w:val="0"/>
                                              <w:marTop w:val="0"/>
                                              <w:marBottom w:val="0"/>
                                              <w:divBdr>
                                                <w:top w:val="none" w:sz="0" w:space="0" w:color="auto"/>
                                                <w:left w:val="none" w:sz="0" w:space="0" w:color="auto"/>
                                                <w:bottom w:val="none" w:sz="0" w:space="0" w:color="auto"/>
                                                <w:right w:val="none" w:sz="0" w:space="0" w:color="auto"/>
                                              </w:divBdr>
                                              <w:divsChild>
                                                <w:div w:id="1211184344">
                                                  <w:marLeft w:val="0"/>
                                                  <w:marRight w:val="0"/>
                                                  <w:marTop w:val="0"/>
                                                  <w:marBottom w:val="0"/>
                                                  <w:divBdr>
                                                    <w:top w:val="none" w:sz="0" w:space="0" w:color="auto"/>
                                                    <w:left w:val="none" w:sz="0" w:space="0" w:color="auto"/>
                                                    <w:bottom w:val="none" w:sz="0" w:space="0" w:color="auto"/>
                                                    <w:right w:val="none" w:sz="0" w:space="0" w:color="auto"/>
                                                  </w:divBdr>
                                                  <w:divsChild>
                                                    <w:div w:id="1602643824">
                                                      <w:marLeft w:val="0"/>
                                                      <w:marRight w:val="0"/>
                                                      <w:marTop w:val="0"/>
                                                      <w:marBottom w:val="0"/>
                                                      <w:divBdr>
                                                        <w:top w:val="none" w:sz="0" w:space="0" w:color="auto"/>
                                                        <w:left w:val="none" w:sz="0" w:space="0" w:color="auto"/>
                                                        <w:bottom w:val="none" w:sz="0" w:space="0" w:color="auto"/>
                                                        <w:right w:val="none" w:sz="0" w:space="0" w:color="auto"/>
                                                      </w:divBdr>
                                                      <w:divsChild>
                                                        <w:div w:id="2044019365">
                                                          <w:marLeft w:val="0"/>
                                                          <w:marRight w:val="0"/>
                                                          <w:marTop w:val="0"/>
                                                          <w:marBottom w:val="0"/>
                                                          <w:divBdr>
                                                            <w:top w:val="none" w:sz="0" w:space="0" w:color="auto"/>
                                                            <w:left w:val="none" w:sz="0" w:space="0" w:color="auto"/>
                                                            <w:bottom w:val="none" w:sz="0" w:space="0" w:color="auto"/>
                                                            <w:right w:val="none" w:sz="0" w:space="0" w:color="auto"/>
                                                          </w:divBdr>
                                                          <w:divsChild>
                                                            <w:div w:id="855650824">
                                                              <w:marLeft w:val="0"/>
                                                              <w:marRight w:val="0"/>
                                                              <w:marTop w:val="0"/>
                                                              <w:marBottom w:val="0"/>
                                                              <w:divBdr>
                                                                <w:top w:val="none" w:sz="0" w:space="0" w:color="auto"/>
                                                                <w:left w:val="none" w:sz="0" w:space="0" w:color="auto"/>
                                                                <w:bottom w:val="none" w:sz="0" w:space="0" w:color="auto"/>
                                                                <w:right w:val="none" w:sz="0" w:space="0" w:color="auto"/>
                                                              </w:divBdr>
                                                              <w:divsChild>
                                                                <w:div w:id="79903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0196950">
      <w:bodyDiv w:val="1"/>
      <w:marLeft w:val="0"/>
      <w:marRight w:val="0"/>
      <w:marTop w:val="0"/>
      <w:marBottom w:val="0"/>
      <w:divBdr>
        <w:top w:val="none" w:sz="0" w:space="0" w:color="auto"/>
        <w:left w:val="none" w:sz="0" w:space="0" w:color="auto"/>
        <w:bottom w:val="none" w:sz="0" w:space="0" w:color="auto"/>
        <w:right w:val="none" w:sz="0" w:space="0" w:color="auto"/>
      </w:divBdr>
    </w:div>
    <w:div w:id="1500392055">
      <w:bodyDiv w:val="1"/>
      <w:marLeft w:val="0"/>
      <w:marRight w:val="0"/>
      <w:marTop w:val="0"/>
      <w:marBottom w:val="0"/>
      <w:divBdr>
        <w:top w:val="none" w:sz="0" w:space="0" w:color="auto"/>
        <w:left w:val="none" w:sz="0" w:space="0" w:color="auto"/>
        <w:bottom w:val="none" w:sz="0" w:space="0" w:color="auto"/>
        <w:right w:val="none" w:sz="0" w:space="0" w:color="auto"/>
      </w:divBdr>
    </w:div>
    <w:div w:id="1514487946">
      <w:bodyDiv w:val="1"/>
      <w:marLeft w:val="0"/>
      <w:marRight w:val="0"/>
      <w:marTop w:val="0"/>
      <w:marBottom w:val="0"/>
      <w:divBdr>
        <w:top w:val="none" w:sz="0" w:space="0" w:color="auto"/>
        <w:left w:val="none" w:sz="0" w:space="0" w:color="auto"/>
        <w:bottom w:val="none" w:sz="0" w:space="0" w:color="auto"/>
        <w:right w:val="none" w:sz="0" w:space="0" w:color="auto"/>
      </w:divBdr>
    </w:div>
    <w:div w:id="1515456468">
      <w:bodyDiv w:val="1"/>
      <w:marLeft w:val="0"/>
      <w:marRight w:val="0"/>
      <w:marTop w:val="0"/>
      <w:marBottom w:val="0"/>
      <w:divBdr>
        <w:top w:val="none" w:sz="0" w:space="0" w:color="auto"/>
        <w:left w:val="none" w:sz="0" w:space="0" w:color="auto"/>
        <w:bottom w:val="none" w:sz="0" w:space="0" w:color="auto"/>
        <w:right w:val="none" w:sz="0" w:space="0" w:color="auto"/>
      </w:divBdr>
      <w:divsChild>
        <w:div w:id="183978025">
          <w:marLeft w:val="0"/>
          <w:marRight w:val="0"/>
          <w:marTop w:val="600"/>
          <w:marBottom w:val="0"/>
          <w:divBdr>
            <w:top w:val="none" w:sz="0" w:space="0" w:color="auto"/>
            <w:left w:val="none" w:sz="0" w:space="0" w:color="auto"/>
            <w:bottom w:val="none" w:sz="0" w:space="0" w:color="auto"/>
            <w:right w:val="none" w:sz="0" w:space="0" w:color="auto"/>
          </w:divBdr>
        </w:div>
      </w:divsChild>
    </w:div>
    <w:div w:id="1525248545">
      <w:bodyDiv w:val="1"/>
      <w:marLeft w:val="0"/>
      <w:marRight w:val="0"/>
      <w:marTop w:val="0"/>
      <w:marBottom w:val="0"/>
      <w:divBdr>
        <w:top w:val="none" w:sz="0" w:space="0" w:color="auto"/>
        <w:left w:val="none" w:sz="0" w:space="0" w:color="auto"/>
        <w:bottom w:val="none" w:sz="0" w:space="0" w:color="auto"/>
        <w:right w:val="none" w:sz="0" w:space="0" w:color="auto"/>
      </w:divBdr>
    </w:div>
    <w:div w:id="1526168613">
      <w:bodyDiv w:val="1"/>
      <w:marLeft w:val="0"/>
      <w:marRight w:val="0"/>
      <w:marTop w:val="0"/>
      <w:marBottom w:val="0"/>
      <w:divBdr>
        <w:top w:val="none" w:sz="0" w:space="0" w:color="auto"/>
        <w:left w:val="none" w:sz="0" w:space="0" w:color="auto"/>
        <w:bottom w:val="none" w:sz="0" w:space="0" w:color="auto"/>
        <w:right w:val="none" w:sz="0" w:space="0" w:color="auto"/>
      </w:divBdr>
    </w:div>
    <w:div w:id="1533154663">
      <w:bodyDiv w:val="1"/>
      <w:marLeft w:val="0"/>
      <w:marRight w:val="0"/>
      <w:marTop w:val="0"/>
      <w:marBottom w:val="0"/>
      <w:divBdr>
        <w:top w:val="none" w:sz="0" w:space="0" w:color="auto"/>
        <w:left w:val="none" w:sz="0" w:space="0" w:color="auto"/>
        <w:bottom w:val="none" w:sz="0" w:space="0" w:color="auto"/>
        <w:right w:val="none" w:sz="0" w:space="0" w:color="auto"/>
      </w:divBdr>
    </w:div>
    <w:div w:id="1534150163">
      <w:bodyDiv w:val="1"/>
      <w:marLeft w:val="0"/>
      <w:marRight w:val="0"/>
      <w:marTop w:val="0"/>
      <w:marBottom w:val="0"/>
      <w:divBdr>
        <w:top w:val="none" w:sz="0" w:space="0" w:color="auto"/>
        <w:left w:val="none" w:sz="0" w:space="0" w:color="auto"/>
        <w:bottom w:val="none" w:sz="0" w:space="0" w:color="auto"/>
        <w:right w:val="none" w:sz="0" w:space="0" w:color="auto"/>
      </w:divBdr>
    </w:div>
    <w:div w:id="1538153585">
      <w:bodyDiv w:val="1"/>
      <w:marLeft w:val="0"/>
      <w:marRight w:val="0"/>
      <w:marTop w:val="0"/>
      <w:marBottom w:val="0"/>
      <w:divBdr>
        <w:top w:val="none" w:sz="0" w:space="0" w:color="auto"/>
        <w:left w:val="none" w:sz="0" w:space="0" w:color="auto"/>
        <w:bottom w:val="none" w:sz="0" w:space="0" w:color="auto"/>
        <w:right w:val="none" w:sz="0" w:space="0" w:color="auto"/>
      </w:divBdr>
    </w:div>
    <w:div w:id="1539972555">
      <w:bodyDiv w:val="1"/>
      <w:marLeft w:val="0"/>
      <w:marRight w:val="0"/>
      <w:marTop w:val="0"/>
      <w:marBottom w:val="0"/>
      <w:divBdr>
        <w:top w:val="none" w:sz="0" w:space="0" w:color="auto"/>
        <w:left w:val="none" w:sz="0" w:space="0" w:color="auto"/>
        <w:bottom w:val="none" w:sz="0" w:space="0" w:color="auto"/>
        <w:right w:val="none" w:sz="0" w:space="0" w:color="auto"/>
      </w:divBdr>
    </w:div>
    <w:div w:id="1558587435">
      <w:bodyDiv w:val="1"/>
      <w:marLeft w:val="0"/>
      <w:marRight w:val="0"/>
      <w:marTop w:val="0"/>
      <w:marBottom w:val="0"/>
      <w:divBdr>
        <w:top w:val="none" w:sz="0" w:space="0" w:color="auto"/>
        <w:left w:val="none" w:sz="0" w:space="0" w:color="auto"/>
        <w:bottom w:val="none" w:sz="0" w:space="0" w:color="auto"/>
        <w:right w:val="none" w:sz="0" w:space="0" w:color="auto"/>
      </w:divBdr>
    </w:div>
    <w:div w:id="1558786340">
      <w:bodyDiv w:val="1"/>
      <w:marLeft w:val="0"/>
      <w:marRight w:val="0"/>
      <w:marTop w:val="0"/>
      <w:marBottom w:val="0"/>
      <w:divBdr>
        <w:top w:val="none" w:sz="0" w:space="0" w:color="auto"/>
        <w:left w:val="none" w:sz="0" w:space="0" w:color="auto"/>
        <w:bottom w:val="none" w:sz="0" w:space="0" w:color="auto"/>
        <w:right w:val="none" w:sz="0" w:space="0" w:color="auto"/>
      </w:divBdr>
    </w:div>
    <w:div w:id="1561087403">
      <w:bodyDiv w:val="1"/>
      <w:marLeft w:val="0"/>
      <w:marRight w:val="0"/>
      <w:marTop w:val="0"/>
      <w:marBottom w:val="0"/>
      <w:divBdr>
        <w:top w:val="none" w:sz="0" w:space="0" w:color="auto"/>
        <w:left w:val="none" w:sz="0" w:space="0" w:color="auto"/>
        <w:bottom w:val="none" w:sz="0" w:space="0" w:color="auto"/>
        <w:right w:val="none" w:sz="0" w:space="0" w:color="auto"/>
      </w:divBdr>
    </w:div>
    <w:div w:id="1563055593">
      <w:bodyDiv w:val="1"/>
      <w:marLeft w:val="0"/>
      <w:marRight w:val="0"/>
      <w:marTop w:val="0"/>
      <w:marBottom w:val="0"/>
      <w:divBdr>
        <w:top w:val="none" w:sz="0" w:space="0" w:color="auto"/>
        <w:left w:val="none" w:sz="0" w:space="0" w:color="auto"/>
        <w:bottom w:val="none" w:sz="0" w:space="0" w:color="auto"/>
        <w:right w:val="none" w:sz="0" w:space="0" w:color="auto"/>
      </w:divBdr>
      <w:divsChild>
        <w:div w:id="447241942">
          <w:marLeft w:val="0"/>
          <w:marRight w:val="0"/>
          <w:marTop w:val="0"/>
          <w:marBottom w:val="0"/>
          <w:divBdr>
            <w:top w:val="none" w:sz="0" w:space="0" w:color="auto"/>
            <w:left w:val="none" w:sz="0" w:space="0" w:color="auto"/>
            <w:bottom w:val="none" w:sz="0" w:space="0" w:color="auto"/>
            <w:right w:val="none" w:sz="0" w:space="0" w:color="auto"/>
          </w:divBdr>
          <w:divsChild>
            <w:div w:id="90776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828284">
      <w:bodyDiv w:val="1"/>
      <w:marLeft w:val="0"/>
      <w:marRight w:val="0"/>
      <w:marTop w:val="0"/>
      <w:marBottom w:val="0"/>
      <w:divBdr>
        <w:top w:val="none" w:sz="0" w:space="0" w:color="auto"/>
        <w:left w:val="none" w:sz="0" w:space="0" w:color="auto"/>
        <w:bottom w:val="none" w:sz="0" w:space="0" w:color="auto"/>
        <w:right w:val="none" w:sz="0" w:space="0" w:color="auto"/>
      </w:divBdr>
    </w:div>
    <w:div w:id="1566792984">
      <w:bodyDiv w:val="1"/>
      <w:marLeft w:val="0"/>
      <w:marRight w:val="0"/>
      <w:marTop w:val="0"/>
      <w:marBottom w:val="0"/>
      <w:divBdr>
        <w:top w:val="none" w:sz="0" w:space="0" w:color="auto"/>
        <w:left w:val="none" w:sz="0" w:space="0" w:color="auto"/>
        <w:bottom w:val="none" w:sz="0" w:space="0" w:color="auto"/>
        <w:right w:val="none" w:sz="0" w:space="0" w:color="auto"/>
      </w:divBdr>
    </w:div>
    <w:div w:id="1567180175">
      <w:bodyDiv w:val="1"/>
      <w:marLeft w:val="0"/>
      <w:marRight w:val="0"/>
      <w:marTop w:val="0"/>
      <w:marBottom w:val="0"/>
      <w:divBdr>
        <w:top w:val="none" w:sz="0" w:space="0" w:color="auto"/>
        <w:left w:val="none" w:sz="0" w:space="0" w:color="auto"/>
        <w:bottom w:val="none" w:sz="0" w:space="0" w:color="auto"/>
        <w:right w:val="none" w:sz="0" w:space="0" w:color="auto"/>
      </w:divBdr>
      <w:divsChild>
        <w:div w:id="1484279099">
          <w:marLeft w:val="0"/>
          <w:marRight w:val="0"/>
          <w:marTop w:val="0"/>
          <w:marBottom w:val="0"/>
          <w:divBdr>
            <w:top w:val="none" w:sz="0" w:space="0" w:color="auto"/>
            <w:left w:val="none" w:sz="0" w:space="0" w:color="auto"/>
            <w:bottom w:val="none" w:sz="0" w:space="0" w:color="auto"/>
            <w:right w:val="none" w:sz="0" w:space="0" w:color="auto"/>
          </w:divBdr>
        </w:div>
      </w:divsChild>
    </w:div>
    <w:div w:id="1567640113">
      <w:bodyDiv w:val="1"/>
      <w:marLeft w:val="0"/>
      <w:marRight w:val="0"/>
      <w:marTop w:val="0"/>
      <w:marBottom w:val="0"/>
      <w:divBdr>
        <w:top w:val="none" w:sz="0" w:space="0" w:color="auto"/>
        <w:left w:val="none" w:sz="0" w:space="0" w:color="auto"/>
        <w:bottom w:val="none" w:sz="0" w:space="0" w:color="auto"/>
        <w:right w:val="none" w:sz="0" w:space="0" w:color="auto"/>
      </w:divBdr>
      <w:divsChild>
        <w:div w:id="2139835950">
          <w:marLeft w:val="0"/>
          <w:marRight w:val="0"/>
          <w:marTop w:val="0"/>
          <w:marBottom w:val="0"/>
          <w:divBdr>
            <w:top w:val="none" w:sz="0" w:space="0" w:color="auto"/>
            <w:left w:val="none" w:sz="0" w:space="0" w:color="auto"/>
            <w:bottom w:val="none" w:sz="0" w:space="0" w:color="auto"/>
            <w:right w:val="none" w:sz="0" w:space="0" w:color="auto"/>
          </w:divBdr>
          <w:divsChild>
            <w:div w:id="204802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085361">
      <w:bodyDiv w:val="1"/>
      <w:marLeft w:val="0"/>
      <w:marRight w:val="0"/>
      <w:marTop w:val="0"/>
      <w:marBottom w:val="0"/>
      <w:divBdr>
        <w:top w:val="none" w:sz="0" w:space="0" w:color="auto"/>
        <w:left w:val="none" w:sz="0" w:space="0" w:color="auto"/>
        <w:bottom w:val="none" w:sz="0" w:space="0" w:color="auto"/>
        <w:right w:val="none" w:sz="0" w:space="0" w:color="auto"/>
      </w:divBdr>
    </w:div>
    <w:div w:id="1581600193">
      <w:bodyDiv w:val="1"/>
      <w:marLeft w:val="0"/>
      <w:marRight w:val="0"/>
      <w:marTop w:val="0"/>
      <w:marBottom w:val="0"/>
      <w:divBdr>
        <w:top w:val="none" w:sz="0" w:space="0" w:color="auto"/>
        <w:left w:val="none" w:sz="0" w:space="0" w:color="auto"/>
        <w:bottom w:val="none" w:sz="0" w:space="0" w:color="auto"/>
        <w:right w:val="none" w:sz="0" w:space="0" w:color="auto"/>
      </w:divBdr>
    </w:div>
    <w:div w:id="1589079206">
      <w:bodyDiv w:val="1"/>
      <w:marLeft w:val="0"/>
      <w:marRight w:val="0"/>
      <w:marTop w:val="0"/>
      <w:marBottom w:val="0"/>
      <w:divBdr>
        <w:top w:val="none" w:sz="0" w:space="0" w:color="auto"/>
        <w:left w:val="none" w:sz="0" w:space="0" w:color="auto"/>
        <w:bottom w:val="none" w:sz="0" w:space="0" w:color="auto"/>
        <w:right w:val="none" w:sz="0" w:space="0" w:color="auto"/>
      </w:divBdr>
      <w:divsChild>
        <w:div w:id="1531139394">
          <w:marLeft w:val="0"/>
          <w:marRight w:val="0"/>
          <w:marTop w:val="0"/>
          <w:marBottom w:val="225"/>
          <w:divBdr>
            <w:top w:val="none" w:sz="0" w:space="0" w:color="auto"/>
            <w:left w:val="none" w:sz="0" w:space="0" w:color="auto"/>
            <w:bottom w:val="none" w:sz="0" w:space="0" w:color="auto"/>
            <w:right w:val="none" w:sz="0" w:space="0" w:color="auto"/>
          </w:divBdr>
        </w:div>
      </w:divsChild>
    </w:div>
    <w:div w:id="1591422917">
      <w:bodyDiv w:val="1"/>
      <w:marLeft w:val="0"/>
      <w:marRight w:val="0"/>
      <w:marTop w:val="0"/>
      <w:marBottom w:val="0"/>
      <w:divBdr>
        <w:top w:val="none" w:sz="0" w:space="0" w:color="auto"/>
        <w:left w:val="none" w:sz="0" w:space="0" w:color="auto"/>
        <w:bottom w:val="none" w:sz="0" w:space="0" w:color="auto"/>
        <w:right w:val="none" w:sz="0" w:space="0" w:color="auto"/>
      </w:divBdr>
    </w:div>
    <w:div w:id="1595899345">
      <w:bodyDiv w:val="1"/>
      <w:marLeft w:val="0"/>
      <w:marRight w:val="0"/>
      <w:marTop w:val="0"/>
      <w:marBottom w:val="0"/>
      <w:divBdr>
        <w:top w:val="none" w:sz="0" w:space="0" w:color="auto"/>
        <w:left w:val="none" w:sz="0" w:space="0" w:color="auto"/>
        <w:bottom w:val="none" w:sz="0" w:space="0" w:color="auto"/>
        <w:right w:val="none" w:sz="0" w:space="0" w:color="auto"/>
      </w:divBdr>
    </w:div>
    <w:div w:id="1601521597">
      <w:bodyDiv w:val="1"/>
      <w:marLeft w:val="0"/>
      <w:marRight w:val="0"/>
      <w:marTop w:val="0"/>
      <w:marBottom w:val="0"/>
      <w:divBdr>
        <w:top w:val="none" w:sz="0" w:space="0" w:color="auto"/>
        <w:left w:val="none" w:sz="0" w:space="0" w:color="auto"/>
        <w:bottom w:val="none" w:sz="0" w:space="0" w:color="auto"/>
        <w:right w:val="none" w:sz="0" w:space="0" w:color="auto"/>
      </w:divBdr>
    </w:div>
    <w:div w:id="1621574152">
      <w:bodyDiv w:val="1"/>
      <w:marLeft w:val="0"/>
      <w:marRight w:val="0"/>
      <w:marTop w:val="0"/>
      <w:marBottom w:val="0"/>
      <w:divBdr>
        <w:top w:val="none" w:sz="0" w:space="0" w:color="auto"/>
        <w:left w:val="none" w:sz="0" w:space="0" w:color="auto"/>
        <w:bottom w:val="none" w:sz="0" w:space="0" w:color="auto"/>
        <w:right w:val="none" w:sz="0" w:space="0" w:color="auto"/>
      </w:divBdr>
    </w:div>
    <w:div w:id="1623538708">
      <w:bodyDiv w:val="1"/>
      <w:marLeft w:val="0"/>
      <w:marRight w:val="0"/>
      <w:marTop w:val="0"/>
      <w:marBottom w:val="0"/>
      <w:divBdr>
        <w:top w:val="none" w:sz="0" w:space="0" w:color="auto"/>
        <w:left w:val="none" w:sz="0" w:space="0" w:color="auto"/>
        <w:bottom w:val="none" w:sz="0" w:space="0" w:color="auto"/>
        <w:right w:val="none" w:sz="0" w:space="0" w:color="auto"/>
      </w:divBdr>
      <w:divsChild>
        <w:div w:id="1091468759">
          <w:marLeft w:val="0"/>
          <w:marRight w:val="0"/>
          <w:marTop w:val="0"/>
          <w:marBottom w:val="0"/>
          <w:divBdr>
            <w:top w:val="none" w:sz="0" w:space="0" w:color="auto"/>
            <w:left w:val="none" w:sz="0" w:space="0" w:color="auto"/>
            <w:bottom w:val="none" w:sz="0" w:space="0" w:color="auto"/>
            <w:right w:val="none" w:sz="0" w:space="0" w:color="auto"/>
          </w:divBdr>
          <w:divsChild>
            <w:div w:id="344137922">
              <w:marLeft w:val="-225"/>
              <w:marRight w:val="-225"/>
              <w:marTop w:val="0"/>
              <w:marBottom w:val="0"/>
              <w:divBdr>
                <w:top w:val="none" w:sz="0" w:space="0" w:color="auto"/>
                <w:left w:val="none" w:sz="0" w:space="0" w:color="auto"/>
                <w:bottom w:val="none" w:sz="0" w:space="0" w:color="auto"/>
                <w:right w:val="none" w:sz="0" w:space="0" w:color="auto"/>
              </w:divBdr>
              <w:divsChild>
                <w:div w:id="1715495500">
                  <w:marLeft w:val="0"/>
                  <w:marRight w:val="0"/>
                  <w:marTop w:val="0"/>
                  <w:marBottom w:val="0"/>
                  <w:divBdr>
                    <w:top w:val="none" w:sz="0" w:space="0" w:color="auto"/>
                    <w:left w:val="none" w:sz="0" w:space="0" w:color="auto"/>
                    <w:bottom w:val="none" w:sz="0" w:space="0" w:color="auto"/>
                    <w:right w:val="none" w:sz="0" w:space="0" w:color="auto"/>
                  </w:divBdr>
                  <w:divsChild>
                    <w:div w:id="39998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657219">
      <w:bodyDiv w:val="1"/>
      <w:marLeft w:val="0"/>
      <w:marRight w:val="0"/>
      <w:marTop w:val="0"/>
      <w:marBottom w:val="0"/>
      <w:divBdr>
        <w:top w:val="none" w:sz="0" w:space="0" w:color="auto"/>
        <w:left w:val="none" w:sz="0" w:space="0" w:color="auto"/>
        <w:bottom w:val="none" w:sz="0" w:space="0" w:color="auto"/>
        <w:right w:val="none" w:sz="0" w:space="0" w:color="auto"/>
      </w:divBdr>
    </w:div>
    <w:div w:id="1630552235">
      <w:bodyDiv w:val="1"/>
      <w:marLeft w:val="0"/>
      <w:marRight w:val="0"/>
      <w:marTop w:val="0"/>
      <w:marBottom w:val="0"/>
      <w:divBdr>
        <w:top w:val="none" w:sz="0" w:space="0" w:color="auto"/>
        <w:left w:val="none" w:sz="0" w:space="0" w:color="auto"/>
        <w:bottom w:val="none" w:sz="0" w:space="0" w:color="auto"/>
        <w:right w:val="none" w:sz="0" w:space="0" w:color="auto"/>
      </w:divBdr>
      <w:divsChild>
        <w:div w:id="789711512">
          <w:marLeft w:val="0"/>
          <w:marRight w:val="0"/>
          <w:marTop w:val="0"/>
          <w:marBottom w:val="0"/>
          <w:divBdr>
            <w:top w:val="none" w:sz="0" w:space="0" w:color="auto"/>
            <w:left w:val="none" w:sz="0" w:space="0" w:color="auto"/>
            <w:bottom w:val="none" w:sz="0" w:space="0" w:color="auto"/>
            <w:right w:val="none" w:sz="0" w:space="0" w:color="auto"/>
          </w:divBdr>
          <w:divsChild>
            <w:div w:id="13946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138377">
      <w:bodyDiv w:val="1"/>
      <w:marLeft w:val="0"/>
      <w:marRight w:val="0"/>
      <w:marTop w:val="0"/>
      <w:marBottom w:val="0"/>
      <w:divBdr>
        <w:top w:val="none" w:sz="0" w:space="0" w:color="auto"/>
        <w:left w:val="none" w:sz="0" w:space="0" w:color="auto"/>
        <w:bottom w:val="none" w:sz="0" w:space="0" w:color="auto"/>
        <w:right w:val="none" w:sz="0" w:space="0" w:color="auto"/>
      </w:divBdr>
    </w:div>
    <w:div w:id="1640963512">
      <w:bodyDiv w:val="1"/>
      <w:marLeft w:val="0"/>
      <w:marRight w:val="0"/>
      <w:marTop w:val="0"/>
      <w:marBottom w:val="0"/>
      <w:divBdr>
        <w:top w:val="none" w:sz="0" w:space="0" w:color="auto"/>
        <w:left w:val="none" w:sz="0" w:space="0" w:color="auto"/>
        <w:bottom w:val="none" w:sz="0" w:space="0" w:color="auto"/>
        <w:right w:val="none" w:sz="0" w:space="0" w:color="auto"/>
      </w:divBdr>
    </w:div>
    <w:div w:id="1653869370">
      <w:bodyDiv w:val="1"/>
      <w:marLeft w:val="0"/>
      <w:marRight w:val="0"/>
      <w:marTop w:val="0"/>
      <w:marBottom w:val="0"/>
      <w:divBdr>
        <w:top w:val="none" w:sz="0" w:space="0" w:color="auto"/>
        <w:left w:val="none" w:sz="0" w:space="0" w:color="auto"/>
        <w:bottom w:val="none" w:sz="0" w:space="0" w:color="auto"/>
        <w:right w:val="none" w:sz="0" w:space="0" w:color="auto"/>
      </w:divBdr>
    </w:div>
    <w:div w:id="1655376731">
      <w:bodyDiv w:val="1"/>
      <w:marLeft w:val="0"/>
      <w:marRight w:val="0"/>
      <w:marTop w:val="0"/>
      <w:marBottom w:val="0"/>
      <w:divBdr>
        <w:top w:val="none" w:sz="0" w:space="0" w:color="auto"/>
        <w:left w:val="none" w:sz="0" w:space="0" w:color="auto"/>
        <w:bottom w:val="none" w:sz="0" w:space="0" w:color="auto"/>
        <w:right w:val="none" w:sz="0" w:space="0" w:color="auto"/>
      </w:divBdr>
    </w:div>
    <w:div w:id="1674214939">
      <w:bodyDiv w:val="1"/>
      <w:marLeft w:val="0"/>
      <w:marRight w:val="0"/>
      <w:marTop w:val="0"/>
      <w:marBottom w:val="0"/>
      <w:divBdr>
        <w:top w:val="none" w:sz="0" w:space="0" w:color="auto"/>
        <w:left w:val="none" w:sz="0" w:space="0" w:color="auto"/>
        <w:bottom w:val="none" w:sz="0" w:space="0" w:color="auto"/>
        <w:right w:val="none" w:sz="0" w:space="0" w:color="auto"/>
      </w:divBdr>
    </w:div>
    <w:div w:id="1680038792">
      <w:bodyDiv w:val="1"/>
      <w:marLeft w:val="0"/>
      <w:marRight w:val="0"/>
      <w:marTop w:val="0"/>
      <w:marBottom w:val="0"/>
      <w:divBdr>
        <w:top w:val="none" w:sz="0" w:space="0" w:color="auto"/>
        <w:left w:val="none" w:sz="0" w:space="0" w:color="auto"/>
        <w:bottom w:val="none" w:sz="0" w:space="0" w:color="auto"/>
        <w:right w:val="none" w:sz="0" w:space="0" w:color="auto"/>
      </w:divBdr>
      <w:divsChild>
        <w:div w:id="263196148">
          <w:marLeft w:val="0"/>
          <w:marRight w:val="0"/>
          <w:marTop w:val="0"/>
          <w:marBottom w:val="0"/>
          <w:divBdr>
            <w:top w:val="none" w:sz="0" w:space="0" w:color="auto"/>
            <w:left w:val="none" w:sz="0" w:space="0" w:color="auto"/>
            <w:bottom w:val="none" w:sz="0" w:space="0" w:color="auto"/>
            <w:right w:val="none" w:sz="0" w:space="0" w:color="auto"/>
          </w:divBdr>
          <w:divsChild>
            <w:div w:id="1583560445">
              <w:marLeft w:val="0"/>
              <w:marRight w:val="0"/>
              <w:marTop w:val="100"/>
              <w:marBottom w:val="100"/>
              <w:divBdr>
                <w:top w:val="none" w:sz="0" w:space="0" w:color="auto"/>
                <w:left w:val="none" w:sz="0" w:space="0" w:color="auto"/>
                <w:bottom w:val="none" w:sz="0" w:space="0" w:color="auto"/>
                <w:right w:val="none" w:sz="0" w:space="0" w:color="auto"/>
              </w:divBdr>
              <w:divsChild>
                <w:div w:id="2006591400">
                  <w:marLeft w:val="0"/>
                  <w:marRight w:val="0"/>
                  <w:marTop w:val="0"/>
                  <w:marBottom w:val="0"/>
                  <w:divBdr>
                    <w:top w:val="none" w:sz="0" w:space="0" w:color="auto"/>
                    <w:left w:val="none" w:sz="0" w:space="0" w:color="auto"/>
                    <w:bottom w:val="none" w:sz="0" w:space="0" w:color="auto"/>
                    <w:right w:val="none" w:sz="0" w:space="0" w:color="auto"/>
                  </w:divBdr>
                  <w:divsChild>
                    <w:div w:id="2123187091">
                      <w:marLeft w:val="0"/>
                      <w:marRight w:val="0"/>
                      <w:marTop w:val="300"/>
                      <w:marBottom w:val="0"/>
                      <w:divBdr>
                        <w:top w:val="none" w:sz="0" w:space="0" w:color="auto"/>
                        <w:left w:val="none" w:sz="0" w:space="0" w:color="auto"/>
                        <w:bottom w:val="none" w:sz="0" w:space="0" w:color="auto"/>
                        <w:right w:val="none" w:sz="0" w:space="0" w:color="auto"/>
                      </w:divBdr>
                      <w:divsChild>
                        <w:div w:id="989869470">
                          <w:marLeft w:val="0"/>
                          <w:marRight w:val="0"/>
                          <w:marTop w:val="0"/>
                          <w:marBottom w:val="0"/>
                          <w:divBdr>
                            <w:top w:val="none" w:sz="0" w:space="0" w:color="auto"/>
                            <w:left w:val="none" w:sz="0" w:space="0" w:color="auto"/>
                            <w:bottom w:val="none" w:sz="0" w:space="0" w:color="auto"/>
                            <w:right w:val="none" w:sz="0" w:space="0" w:color="auto"/>
                          </w:divBdr>
                          <w:divsChild>
                            <w:div w:id="1219709115">
                              <w:marLeft w:val="0"/>
                              <w:marRight w:val="0"/>
                              <w:marTop w:val="0"/>
                              <w:marBottom w:val="0"/>
                              <w:divBdr>
                                <w:top w:val="none" w:sz="0" w:space="0" w:color="auto"/>
                                <w:left w:val="none" w:sz="0" w:space="0" w:color="auto"/>
                                <w:bottom w:val="none" w:sz="0" w:space="0" w:color="auto"/>
                                <w:right w:val="none" w:sz="0" w:space="0" w:color="auto"/>
                              </w:divBdr>
                              <w:divsChild>
                                <w:div w:id="1361974385">
                                  <w:marLeft w:val="0"/>
                                  <w:marRight w:val="0"/>
                                  <w:marTop w:val="0"/>
                                  <w:marBottom w:val="0"/>
                                  <w:divBdr>
                                    <w:top w:val="none" w:sz="0" w:space="0" w:color="auto"/>
                                    <w:left w:val="none" w:sz="0" w:space="0" w:color="auto"/>
                                    <w:bottom w:val="none" w:sz="0" w:space="0" w:color="auto"/>
                                    <w:right w:val="none" w:sz="0" w:space="0" w:color="auto"/>
                                  </w:divBdr>
                                  <w:divsChild>
                                    <w:div w:id="2141721894">
                                      <w:marLeft w:val="0"/>
                                      <w:marRight w:val="0"/>
                                      <w:marTop w:val="0"/>
                                      <w:marBottom w:val="0"/>
                                      <w:divBdr>
                                        <w:top w:val="none" w:sz="0" w:space="0" w:color="auto"/>
                                        <w:left w:val="none" w:sz="0" w:space="0" w:color="auto"/>
                                        <w:bottom w:val="none" w:sz="0" w:space="0" w:color="auto"/>
                                        <w:right w:val="none" w:sz="0" w:space="0" w:color="auto"/>
                                      </w:divBdr>
                                      <w:divsChild>
                                        <w:div w:id="792485858">
                                          <w:marLeft w:val="0"/>
                                          <w:marRight w:val="0"/>
                                          <w:marTop w:val="0"/>
                                          <w:marBottom w:val="0"/>
                                          <w:divBdr>
                                            <w:top w:val="none" w:sz="0" w:space="0" w:color="auto"/>
                                            <w:left w:val="none" w:sz="0" w:space="0" w:color="auto"/>
                                            <w:bottom w:val="none" w:sz="0" w:space="0" w:color="auto"/>
                                            <w:right w:val="none" w:sz="0" w:space="0" w:color="auto"/>
                                          </w:divBdr>
                                          <w:divsChild>
                                            <w:div w:id="596447081">
                                              <w:marLeft w:val="0"/>
                                              <w:marRight w:val="0"/>
                                              <w:marTop w:val="0"/>
                                              <w:marBottom w:val="0"/>
                                              <w:divBdr>
                                                <w:top w:val="none" w:sz="0" w:space="0" w:color="auto"/>
                                                <w:left w:val="none" w:sz="0" w:space="0" w:color="auto"/>
                                                <w:bottom w:val="none" w:sz="0" w:space="0" w:color="auto"/>
                                                <w:right w:val="none" w:sz="0" w:space="0" w:color="auto"/>
                                              </w:divBdr>
                                              <w:divsChild>
                                                <w:div w:id="1990861233">
                                                  <w:marLeft w:val="0"/>
                                                  <w:marRight w:val="0"/>
                                                  <w:marTop w:val="0"/>
                                                  <w:marBottom w:val="0"/>
                                                  <w:divBdr>
                                                    <w:top w:val="none" w:sz="0" w:space="0" w:color="auto"/>
                                                    <w:left w:val="none" w:sz="0" w:space="0" w:color="auto"/>
                                                    <w:bottom w:val="none" w:sz="0" w:space="0" w:color="auto"/>
                                                    <w:right w:val="none" w:sz="0" w:space="0" w:color="auto"/>
                                                  </w:divBdr>
                                                  <w:divsChild>
                                                    <w:div w:id="39138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0086557">
      <w:bodyDiv w:val="1"/>
      <w:marLeft w:val="0"/>
      <w:marRight w:val="0"/>
      <w:marTop w:val="0"/>
      <w:marBottom w:val="0"/>
      <w:divBdr>
        <w:top w:val="none" w:sz="0" w:space="0" w:color="auto"/>
        <w:left w:val="none" w:sz="0" w:space="0" w:color="auto"/>
        <w:bottom w:val="none" w:sz="0" w:space="0" w:color="auto"/>
        <w:right w:val="none" w:sz="0" w:space="0" w:color="auto"/>
      </w:divBdr>
    </w:div>
    <w:div w:id="1687563688">
      <w:bodyDiv w:val="1"/>
      <w:marLeft w:val="0"/>
      <w:marRight w:val="0"/>
      <w:marTop w:val="0"/>
      <w:marBottom w:val="0"/>
      <w:divBdr>
        <w:top w:val="none" w:sz="0" w:space="0" w:color="auto"/>
        <w:left w:val="none" w:sz="0" w:space="0" w:color="auto"/>
        <w:bottom w:val="none" w:sz="0" w:space="0" w:color="auto"/>
        <w:right w:val="none" w:sz="0" w:space="0" w:color="auto"/>
      </w:divBdr>
      <w:divsChild>
        <w:div w:id="1969705367">
          <w:marLeft w:val="0"/>
          <w:marRight w:val="0"/>
          <w:marTop w:val="0"/>
          <w:marBottom w:val="0"/>
          <w:divBdr>
            <w:top w:val="none" w:sz="0" w:space="0" w:color="auto"/>
            <w:left w:val="none" w:sz="0" w:space="0" w:color="auto"/>
            <w:bottom w:val="none" w:sz="0" w:space="0" w:color="auto"/>
            <w:right w:val="none" w:sz="0" w:space="0" w:color="auto"/>
          </w:divBdr>
          <w:divsChild>
            <w:div w:id="143258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543706">
      <w:bodyDiv w:val="1"/>
      <w:marLeft w:val="0"/>
      <w:marRight w:val="0"/>
      <w:marTop w:val="0"/>
      <w:marBottom w:val="0"/>
      <w:divBdr>
        <w:top w:val="none" w:sz="0" w:space="0" w:color="auto"/>
        <w:left w:val="none" w:sz="0" w:space="0" w:color="auto"/>
        <w:bottom w:val="none" w:sz="0" w:space="0" w:color="auto"/>
        <w:right w:val="none" w:sz="0" w:space="0" w:color="auto"/>
      </w:divBdr>
      <w:divsChild>
        <w:div w:id="1782919007">
          <w:marLeft w:val="0"/>
          <w:marRight w:val="0"/>
          <w:marTop w:val="0"/>
          <w:marBottom w:val="0"/>
          <w:divBdr>
            <w:top w:val="none" w:sz="0" w:space="0" w:color="auto"/>
            <w:left w:val="none" w:sz="0" w:space="0" w:color="auto"/>
            <w:bottom w:val="none" w:sz="0" w:space="0" w:color="auto"/>
            <w:right w:val="none" w:sz="0" w:space="0" w:color="auto"/>
          </w:divBdr>
          <w:divsChild>
            <w:div w:id="2084138074">
              <w:marLeft w:val="0"/>
              <w:marRight w:val="0"/>
              <w:marTop w:val="0"/>
              <w:marBottom w:val="0"/>
              <w:divBdr>
                <w:top w:val="none" w:sz="0" w:space="0" w:color="auto"/>
                <w:left w:val="none" w:sz="0" w:space="0" w:color="auto"/>
                <w:bottom w:val="none" w:sz="0" w:space="0" w:color="auto"/>
                <w:right w:val="none" w:sz="0" w:space="0" w:color="auto"/>
              </w:divBdr>
              <w:divsChild>
                <w:div w:id="1703824182">
                  <w:marLeft w:val="0"/>
                  <w:marRight w:val="0"/>
                  <w:marTop w:val="0"/>
                  <w:marBottom w:val="0"/>
                  <w:divBdr>
                    <w:top w:val="none" w:sz="0" w:space="0" w:color="auto"/>
                    <w:left w:val="none" w:sz="0" w:space="0" w:color="auto"/>
                    <w:bottom w:val="none" w:sz="0" w:space="0" w:color="auto"/>
                    <w:right w:val="none" w:sz="0" w:space="0" w:color="auto"/>
                  </w:divBdr>
                  <w:divsChild>
                    <w:div w:id="1590970052">
                      <w:marLeft w:val="0"/>
                      <w:marRight w:val="0"/>
                      <w:marTop w:val="0"/>
                      <w:marBottom w:val="0"/>
                      <w:divBdr>
                        <w:top w:val="none" w:sz="0" w:space="0" w:color="auto"/>
                        <w:left w:val="none" w:sz="0" w:space="0" w:color="auto"/>
                        <w:bottom w:val="none" w:sz="0" w:space="0" w:color="auto"/>
                        <w:right w:val="none" w:sz="0" w:space="0" w:color="auto"/>
                      </w:divBdr>
                      <w:divsChild>
                        <w:div w:id="1840846492">
                          <w:marLeft w:val="0"/>
                          <w:marRight w:val="0"/>
                          <w:marTop w:val="0"/>
                          <w:marBottom w:val="0"/>
                          <w:divBdr>
                            <w:top w:val="none" w:sz="0" w:space="0" w:color="auto"/>
                            <w:left w:val="none" w:sz="0" w:space="0" w:color="auto"/>
                            <w:bottom w:val="none" w:sz="0" w:space="0" w:color="auto"/>
                            <w:right w:val="none" w:sz="0" w:space="0" w:color="auto"/>
                          </w:divBdr>
                          <w:divsChild>
                            <w:div w:id="843011541">
                              <w:marLeft w:val="0"/>
                              <w:marRight w:val="0"/>
                              <w:marTop w:val="0"/>
                              <w:marBottom w:val="0"/>
                              <w:divBdr>
                                <w:top w:val="none" w:sz="0" w:space="0" w:color="auto"/>
                                <w:left w:val="none" w:sz="0" w:space="0" w:color="auto"/>
                                <w:bottom w:val="none" w:sz="0" w:space="0" w:color="auto"/>
                                <w:right w:val="none" w:sz="0" w:space="0" w:color="auto"/>
                              </w:divBdr>
                              <w:divsChild>
                                <w:div w:id="1980987155">
                                  <w:marLeft w:val="0"/>
                                  <w:marRight w:val="0"/>
                                  <w:marTop w:val="0"/>
                                  <w:marBottom w:val="0"/>
                                  <w:divBdr>
                                    <w:top w:val="none" w:sz="0" w:space="0" w:color="auto"/>
                                    <w:left w:val="none" w:sz="0" w:space="0" w:color="auto"/>
                                    <w:bottom w:val="none" w:sz="0" w:space="0" w:color="auto"/>
                                    <w:right w:val="none" w:sz="0" w:space="0" w:color="auto"/>
                                  </w:divBdr>
                                  <w:divsChild>
                                    <w:div w:id="1055393422">
                                      <w:marLeft w:val="0"/>
                                      <w:marRight w:val="0"/>
                                      <w:marTop w:val="0"/>
                                      <w:marBottom w:val="0"/>
                                      <w:divBdr>
                                        <w:top w:val="none" w:sz="0" w:space="0" w:color="auto"/>
                                        <w:left w:val="none" w:sz="0" w:space="0" w:color="auto"/>
                                        <w:bottom w:val="none" w:sz="0" w:space="0" w:color="auto"/>
                                        <w:right w:val="none" w:sz="0" w:space="0" w:color="auto"/>
                                      </w:divBdr>
                                      <w:divsChild>
                                        <w:div w:id="1480228761">
                                          <w:marLeft w:val="0"/>
                                          <w:marRight w:val="0"/>
                                          <w:marTop w:val="0"/>
                                          <w:marBottom w:val="0"/>
                                          <w:divBdr>
                                            <w:top w:val="none" w:sz="0" w:space="0" w:color="auto"/>
                                            <w:left w:val="none" w:sz="0" w:space="0" w:color="auto"/>
                                            <w:bottom w:val="none" w:sz="0" w:space="0" w:color="auto"/>
                                            <w:right w:val="none" w:sz="0" w:space="0" w:color="auto"/>
                                          </w:divBdr>
                                          <w:divsChild>
                                            <w:div w:id="1570844501">
                                              <w:marLeft w:val="0"/>
                                              <w:marRight w:val="0"/>
                                              <w:marTop w:val="0"/>
                                              <w:marBottom w:val="0"/>
                                              <w:divBdr>
                                                <w:top w:val="none" w:sz="0" w:space="0" w:color="auto"/>
                                                <w:left w:val="none" w:sz="0" w:space="0" w:color="auto"/>
                                                <w:bottom w:val="none" w:sz="0" w:space="0" w:color="auto"/>
                                                <w:right w:val="none" w:sz="0" w:space="0" w:color="auto"/>
                                              </w:divBdr>
                                              <w:divsChild>
                                                <w:div w:id="370806611">
                                                  <w:marLeft w:val="0"/>
                                                  <w:marRight w:val="0"/>
                                                  <w:marTop w:val="0"/>
                                                  <w:marBottom w:val="0"/>
                                                  <w:divBdr>
                                                    <w:top w:val="none" w:sz="0" w:space="0" w:color="auto"/>
                                                    <w:left w:val="none" w:sz="0" w:space="0" w:color="auto"/>
                                                    <w:bottom w:val="none" w:sz="0" w:space="0" w:color="auto"/>
                                                    <w:right w:val="none" w:sz="0" w:space="0" w:color="auto"/>
                                                  </w:divBdr>
                                                  <w:divsChild>
                                                    <w:div w:id="161455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8385928">
      <w:bodyDiv w:val="1"/>
      <w:marLeft w:val="0"/>
      <w:marRight w:val="0"/>
      <w:marTop w:val="0"/>
      <w:marBottom w:val="0"/>
      <w:divBdr>
        <w:top w:val="none" w:sz="0" w:space="0" w:color="auto"/>
        <w:left w:val="none" w:sz="0" w:space="0" w:color="auto"/>
        <w:bottom w:val="none" w:sz="0" w:space="0" w:color="auto"/>
        <w:right w:val="none" w:sz="0" w:space="0" w:color="auto"/>
      </w:divBdr>
    </w:div>
    <w:div w:id="1701738763">
      <w:bodyDiv w:val="1"/>
      <w:marLeft w:val="0"/>
      <w:marRight w:val="0"/>
      <w:marTop w:val="0"/>
      <w:marBottom w:val="0"/>
      <w:divBdr>
        <w:top w:val="none" w:sz="0" w:space="0" w:color="auto"/>
        <w:left w:val="none" w:sz="0" w:space="0" w:color="auto"/>
        <w:bottom w:val="none" w:sz="0" w:space="0" w:color="auto"/>
        <w:right w:val="none" w:sz="0" w:space="0" w:color="auto"/>
      </w:divBdr>
      <w:divsChild>
        <w:div w:id="912280737">
          <w:marLeft w:val="0"/>
          <w:marRight w:val="0"/>
          <w:marTop w:val="0"/>
          <w:marBottom w:val="0"/>
          <w:divBdr>
            <w:top w:val="none" w:sz="0" w:space="0" w:color="auto"/>
            <w:left w:val="none" w:sz="0" w:space="0" w:color="auto"/>
            <w:bottom w:val="none" w:sz="0" w:space="0" w:color="auto"/>
            <w:right w:val="none" w:sz="0" w:space="0" w:color="auto"/>
          </w:divBdr>
          <w:divsChild>
            <w:div w:id="1377271268">
              <w:marLeft w:val="-225"/>
              <w:marRight w:val="-225"/>
              <w:marTop w:val="0"/>
              <w:marBottom w:val="0"/>
              <w:divBdr>
                <w:top w:val="none" w:sz="0" w:space="0" w:color="auto"/>
                <w:left w:val="none" w:sz="0" w:space="0" w:color="auto"/>
                <w:bottom w:val="none" w:sz="0" w:space="0" w:color="auto"/>
                <w:right w:val="none" w:sz="0" w:space="0" w:color="auto"/>
              </w:divBdr>
              <w:divsChild>
                <w:div w:id="1294868651">
                  <w:marLeft w:val="0"/>
                  <w:marRight w:val="0"/>
                  <w:marTop w:val="0"/>
                  <w:marBottom w:val="0"/>
                  <w:divBdr>
                    <w:top w:val="none" w:sz="0" w:space="0" w:color="auto"/>
                    <w:left w:val="none" w:sz="0" w:space="0" w:color="auto"/>
                    <w:bottom w:val="none" w:sz="0" w:space="0" w:color="auto"/>
                    <w:right w:val="none" w:sz="0" w:space="0" w:color="auto"/>
                  </w:divBdr>
                  <w:divsChild>
                    <w:div w:id="1839495886">
                      <w:marLeft w:val="-225"/>
                      <w:marRight w:val="-225"/>
                      <w:marTop w:val="0"/>
                      <w:marBottom w:val="0"/>
                      <w:divBdr>
                        <w:top w:val="none" w:sz="0" w:space="0" w:color="auto"/>
                        <w:left w:val="none" w:sz="0" w:space="0" w:color="auto"/>
                        <w:bottom w:val="none" w:sz="0" w:space="0" w:color="auto"/>
                        <w:right w:val="none" w:sz="0" w:space="0" w:color="auto"/>
                      </w:divBdr>
                      <w:divsChild>
                        <w:div w:id="29707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479284">
      <w:bodyDiv w:val="1"/>
      <w:marLeft w:val="0"/>
      <w:marRight w:val="0"/>
      <w:marTop w:val="0"/>
      <w:marBottom w:val="0"/>
      <w:divBdr>
        <w:top w:val="none" w:sz="0" w:space="0" w:color="auto"/>
        <w:left w:val="none" w:sz="0" w:space="0" w:color="auto"/>
        <w:bottom w:val="none" w:sz="0" w:space="0" w:color="auto"/>
        <w:right w:val="none" w:sz="0" w:space="0" w:color="auto"/>
      </w:divBdr>
    </w:div>
    <w:div w:id="1717119439">
      <w:bodyDiv w:val="1"/>
      <w:marLeft w:val="0"/>
      <w:marRight w:val="0"/>
      <w:marTop w:val="0"/>
      <w:marBottom w:val="0"/>
      <w:divBdr>
        <w:top w:val="none" w:sz="0" w:space="0" w:color="auto"/>
        <w:left w:val="none" w:sz="0" w:space="0" w:color="auto"/>
        <w:bottom w:val="none" w:sz="0" w:space="0" w:color="auto"/>
        <w:right w:val="none" w:sz="0" w:space="0" w:color="auto"/>
      </w:divBdr>
    </w:div>
    <w:div w:id="1718124178">
      <w:bodyDiv w:val="1"/>
      <w:marLeft w:val="0"/>
      <w:marRight w:val="0"/>
      <w:marTop w:val="0"/>
      <w:marBottom w:val="0"/>
      <w:divBdr>
        <w:top w:val="none" w:sz="0" w:space="0" w:color="auto"/>
        <w:left w:val="none" w:sz="0" w:space="0" w:color="auto"/>
        <w:bottom w:val="none" w:sz="0" w:space="0" w:color="auto"/>
        <w:right w:val="none" w:sz="0" w:space="0" w:color="auto"/>
      </w:divBdr>
    </w:div>
    <w:div w:id="1744110110">
      <w:bodyDiv w:val="1"/>
      <w:marLeft w:val="0"/>
      <w:marRight w:val="0"/>
      <w:marTop w:val="0"/>
      <w:marBottom w:val="0"/>
      <w:divBdr>
        <w:top w:val="none" w:sz="0" w:space="0" w:color="auto"/>
        <w:left w:val="none" w:sz="0" w:space="0" w:color="auto"/>
        <w:bottom w:val="none" w:sz="0" w:space="0" w:color="auto"/>
        <w:right w:val="none" w:sz="0" w:space="0" w:color="auto"/>
      </w:divBdr>
    </w:div>
    <w:div w:id="1744376966">
      <w:bodyDiv w:val="1"/>
      <w:marLeft w:val="0"/>
      <w:marRight w:val="0"/>
      <w:marTop w:val="0"/>
      <w:marBottom w:val="0"/>
      <w:divBdr>
        <w:top w:val="none" w:sz="0" w:space="0" w:color="auto"/>
        <w:left w:val="none" w:sz="0" w:space="0" w:color="auto"/>
        <w:bottom w:val="none" w:sz="0" w:space="0" w:color="auto"/>
        <w:right w:val="none" w:sz="0" w:space="0" w:color="auto"/>
      </w:divBdr>
    </w:div>
    <w:div w:id="1745447970">
      <w:bodyDiv w:val="1"/>
      <w:marLeft w:val="0"/>
      <w:marRight w:val="0"/>
      <w:marTop w:val="0"/>
      <w:marBottom w:val="0"/>
      <w:divBdr>
        <w:top w:val="none" w:sz="0" w:space="0" w:color="auto"/>
        <w:left w:val="none" w:sz="0" w:space="0" w:color="auto"/>
        <w:bottom w:val="none" w:sz="0" w:space="0" w:color="auto"/>
        <w:right w:val="none" w:sz="0" w:space="0" w:color="auto"/>
      </w:divBdr>
    </w:div>
    <w:div w:id="1768454721">
      <w:bodyDiv w:val="1"/>
      <w:marLeft w:val="0"/>
      <w:marRight w:val="0"/>
      <w:marTop w:val="0"/>
      <w:marBottom w:val="0"/>
      <w:divBdr>
        <w:top w:val="none" w:sz="0" w:space="0" w:color="auto"/>
        <w:left w:val="none" w:sz="0" w:space="0" w:color="auto"/>
        <w:bottom w:val="none" w:sz="0" w:space="0" w:color="auto"/>
        <w:right w:val="none" w:sz="0" w:space="0" w:color="auto"/>
      </w:divBdr>
    </w:div>
    <w:div w:id="1780105905">
      <w:bodyDiv w:val="1"/>
      <w:marLeft w:val="0"/>
      <w:marRight w:val="0"/>
      <w:marTop w:val="0"/>
      <w:marBottom w:val="0"/>
      <w:divBdr>
        <w:top w:val="none" w:sz="0" w:space="0" w:color="auto"/>
        <w:left w:val="none" w:sz="0" w:space="0" w:color="auto"/>
        <w:bottom w:val="none" w:sz="0" w:space="0" w:color="auto"/>
        <w:right w:val="none" w:sz="0" w:space="0" w:color="auto"/>
      </w:divBdr>
    </w:div>
    <w:div w:id="1784110475">
      <w:bodyDiv w:val="1"/>
      <w:marLeft w:val="0"/>
      <w:marRight w:val="0"/>
      <w:marTop w:val="0"/>
      <w:marBottom w:val="0"/>
      <w:divBdr>
        <w:top w:val="none" w:sz="0" w:space="0" w:color="auto"/>
        <w:left w:val="none" w:sz="0" w:space="0" w:color="auto"/>
        <w:bottom w:val="none" w:sz="0" w:space="0" w:color="auto"/>
        <w:right w:val="none" w:sz="0" w:space="0" w:color="auto"/>
      </w:divBdr>
    </w:div>
    <w:div w:id="1789733872">
      <w:bodyDiv w:val="1"/>
      <w:marLeft w:val="0"/>
      <w:marRight w:val="0"/>
      <w:marTop w:val="0"/>
      <w:marBottom w:val="0"/>
      <w:divBdr>
        <w:top w:val="none" w:sz="0" w:space="0" w:color="auto"/>
        <w:left w:val="none" w:sz="0" w:space="0" w:color="auto"/>
        <w:bottom w:val="none" w:sz="0" w:space="0" w:color="auto"/>
        <w:right w:val="none" w:sz="0" w:space="0" w:color="auto"/>
      </w:divBdr>
    </w:div>
    <w:div w:id="1801916760">
      <w:bodyDiv w:val="1"/>
      <w:marLeft w:val="0"/>
      <w:marRight w:val="0"/>
      <w:marTop w:val="0"/>
      <w:marBottom w:val="0"/>
      <w:divBdr>
        <w:top w:val="none" w:sz="0" w:space="0" w:color="auto"/>
        <w:left w:val="none" w:sz="0" w:space="0" w:color="auto"/>
        <w:bottom w:val="none" w:sz="0" w:space="0" w:color="auto"/>
        <w:right w:val="none" w:sz="0" w:space="0" w:color="auto"/>
      </w:divBdr>
      <w:divsChild>
        <w:div w:id="83302998">
          <w:marLeft w:val="0"/>
          <w:marRight w:val="0"/>
          <w:marTop w:val="0"/>
          <w:marBottom w:val="0"/>
          <w:divBdr>
            <w:top w:val="none" w:sz="0" w:space="0" w:color="auto"/>
            <w:left w:val="none" w:sz="0" w:space="0" w:color="auto"/>
            <w:bottom w:val="none" w:sz="0" w:space="0" w:color="auto"/>
            <w:right w:val="none" w:sz="0" w:space="0" w:color="auto"/>
          </w:divBdr>
          <w:divsChild>
            <w:div w:id="50740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103938">
      <w:bodyDiv w:val="1"/>
      <w:marLeft w:val="0"/>
      <w:marRight w:val="0"/>
      <w:marTop w:val="0"/>
      <w:marBottom w:val="0"/>
      <w:divBdr>
        <w:top w:val="none" w:sz="0" w:space="0" w:color="auto"/>
        <w:left w:val="none" w:sz="0" w:space="0" w:color="auto"/>
        <w:bottom w:val="none" w:sz="0" w:space="0" w:color="auto"/>
        <w:right w:val="none" w:sz="0" w:space="0" w:color="auto"/>
      </w:divBdr>
    </w:div>
    <w:div w:id="1816753198">
      <w:bodyDiv w:val="1"/>
      <w:marLeft w:val="0"/>
      <w:marRight w:val="0"/>
      <w:marTop w:val="0"/>
      <w:marBottom w:val="0"/>
      <w:divBdr>
        <w:top w:val="none" w:sz="0" w:space="0" w:color="auto"/>
        <w:left w:val="none" w:sz="0" w:space="0" w:color="auto"/>
        <w:bottom w:val="none" w:sz="0" w:space="0" w:color="auto"/>
        <w:right w:val="none" w:sz="0" w:space="0" w:color="auto"/>
      </w:divBdr>
    </w:div>
    <w:div w:id="1818299846">
      <w:bodyDiv w:val="1"/>
      <w:marLeft w:val="0"/>
      <w:marRight w:val="0"/>
      <w:marTop w:val="0"/>
      <w:marBottom w:val="0"/>
      <w:divBdr>
        <w:top w:val="none" w:sz="0" w:space="0" w:color="auto"/>
        <w:left w:val="none" w:sz="0" w:space="0" w:color="auto"/>
        <w:bottom w:val="none" w:sz="0" w:space="0" w:color="auto"/>
        <w:right w:val="none" w:sz="0" w:space="0" w:color="auto"/>
      </w:divBdr>
    </w:div>
    <w:div w:id="1825775445">
      <w:bodyDiv w:val="1"/>
      <w:marLeft w:val="0"/>
      <w:marRight w:val="0"/>
      <w:marTop w:val="0"/>
      <w:marBottom w:val="0"/>
      <w:divBdr>
        <w:top w:val="none" w:sz="0" w:space="0" w:color="auto"/>
        <w:left w:val="none" w:sz="0" w:space="0" w:color="auto"/>
        <w:bottom w:val="none" w:sz="0" w:space="0" w:color="auto"/>
        <w:right w:val="none" w:sz="0" w:space="0" w:color="auto"/>
      </w:divBdr>
      <w:divsChild>
        <w:div w:id="337854510">
          <w:marLeft w:val="0"/>
          <w:marRight w:val="0"/>
          <w:marTop w:val="0"/>
          <w:marBottom w:val="0"/>
          <w:divBdr>
            <w:top w:val="none" w:sz="0" w:space="0" w:color="auto"/>
            <w:left w:val="none" w:sz="0" w:space="0" w:color="auto"/>
            <w:bottom w:val="none" w:sz="0" w:space="0" w:color="auto"/>
            <w:right w:val="none" w:sz="0" w:space="0" w:color="auto"/>
          </w:divBdr>
          <w:divsChild>
            <w:div w:id="111964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280924">
      <w:bodyDiv w:val="1"/>
      <w:marLeft w:val="0"/>
      <w:marRight w:val="0"/>
      <w:marTop w:val="0"/>
      <w:marBottom w:val="0"/>
      <w:divBdr>
        <w:top w:val="none" w:sz="0" w:space="0" w:color="auto"/>
        <w:left w:val="none" w:sz="0" w:space="0" w:color="auto"/>
        <w:bottom w:val="none" w:sz="0" w:space="0" w:color="auto"/>
        <w:right w:val="none" w:sz="0" w:space="0" w:color="auto"/>
      </w:divBdr>
    </w:div>
    <w:div w:id="1829202400">
      <w:bodyDiv w:val="1"/>
      <w:marLeft w:val="0"/>
      <w:marRight w:val="0"/>
      <w:marTop w:val="0"/>
      <w:marBottom w:val="0"/>
      <w:divBdr>
        <w:top w:val="none" w:sz="0" w:space="0" w:color="auto"/>
        <w:left w:val="none" w:sz="0" w:space="0" w:color="auto"/>
        <w:bottom w:val="none" w:sz="0" w:space="0" w:color="auto"/>
        <w:right w:val="none" w:sz="0" w:space="0" w:color="auto"/>
      </w:divBdr>
    </w:div>
    <w:div w:id="1834487588">
      <w:bodyDiv w:val="1"/>
      <w:marLeft w:val="0"/>
      <w:marRight w:val="0"/>
      <w:marTop w:val="0"/>
      <w:marBottom w:val="0"/>
      <w:divBdr>
        <w:top w:val="none" w:sz="0" w:space="0" w:color="auto"/>
        <w:left w:val="none" w:sz="0" w:space="0" w:color="auto"/>
        <w:bottom w:val="none" w:sz="0" w:space="0" w:color="auto"/>
        <w:right w:val="none" w:sz="0" w:space="0" w:color="auto"/>
      </w:divBdr>
    </w:div>
    <w:div w:id="1839033349">
      <w:bodyDiv w:val="1"/>
      <w:marLeft w:val="0"/>
      <w:marRight w:val="0"/>
      <w:marTop w:val="0"/>
      <w:marBottom w:val="0"/>
      <w:divBdr>
        <w:top w:val="none" w:sz="0" w:space="0" w:color="auto"/>
        <w:left w:val="none" w:sz="0" w:space="0" w:color="auto"/>
        <w:bottom w:val="none" w:sz="0" w:space="0" w:color="auto"/>
        <w:right w:val="none" w:sz="0" w:space="0" w:color="auto"/>
      </w:divBdr>
    </w:div>
    <w:div w:id="1844124850">
      <w:bodyDiv w:val="1"/>
      <w:marLeft w:val="0"/>
      <w:marRight w:val="0"/>
      <w:marTop w:val="0"/>
      <w:marBottom w:val="0"/>
      <w:divBdr>
        <w:top w:val="none" w:sz="0" w:space="0" w:color="auto"/>
        <w:left w:val="none" w:sz="0" w:space="0" w:color="auto"/>
        <w:bottom w:val="none" w:sz="0" w:space="0" w:color="auto"/>
        <w:right w:val="none" w:sz="0" w:space="0" w:color="auto"/>
      </w:divBdr>
    </w:div>
    <w:div w:id="1845510583">
      <w:bodyDiv w:val="1"/>
      <w:marLeft w:val="0"/>
      <w:marRight w:val="0"/>
      <w:marTop w:val="0"/>
      <w:marBottom w:val="0"/>
      <w:divBdr>
        <w:top w:val="none" w:sz="0" w:space="0" w:color="auto"/>
        <w:left w:val="none" w:sz="0" w:space="0" w:color="auto"/>
        <w:bottom w:val="none" w:sz="0" w:space="0" w:color="auto"/>
        <w:right w:val="none" w:sz="0" w:space="0" w:color="auto"/>
      </w:divBdr>
      <w:divsChild>
        <w:div w:id="1776822618">
          <w:marLeft w:val="0"/>
          <w:marRight w:val="0"/>
          <w:marTop w:val="0"/>
          <w:marBottom w:val="0"/>
          <w:divBdr>
            <w:top w:val="none" w:sz="0" w:space="0" w:color="auto"/>
            <w:left w:val="none" w:sz="0" w:space="0" w:color="auto"/>
            <w:bottom w:val="none" w:sz="0" w:space="0" w:color="auto"/>
            <w:right w:val="none" w:sz="0" w:space="0" w:color="auto"/>
          </w:divBdr>
          <w:divsChild>
            <w:div w:id="1766608821">
              <w:marLeft w:val="0"/>
              <w:marRight w:val="0"/>
              <w:marTop w:val="0"/>
              <w:marBottom w:val="0"/>
              <w:divBdr>
                <w:top w:val="none" w:sz="0" w:space="0" w:color="auto"/>
                <w:left w:val="none" w:sz="0" w:space="0" w:color="auto"/>
                <w:bottom w:val="none" w:sz="0" w:space="0" w:color="auto"/>
                <w:right w:val="none" w:sz="0" w:space="0" w:color="auto"/>
              </w:divBdr>
              <w:divsChild>
                <w:div w:id="594947551">
                  <w:marLeft w:val="0"/>
                  <w:marRight w:val="0"/>
                  <w:marTop w:val="0"/>
                  <w:marBottom w:val="0"/>
                  <w:divBdr>
                    <w:top w:val="none" w:sz="0" w:space="0" w:color="auto"/>
                    <w:left w:val="none" w:sz="0" w:space="0" w:color="auto"/>
                    <w:bottom w:val="none" w:sz="0" w:space="0" w:color="auto"/>
                    <w:right w:val="none" w:sz="0" w:space="0" w:color="auto"/>
                  </w:divBdr>
                  <w:divsChild>
                    <w:div w:id="131690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643951">
      <w:bodyDiv w:val="1"/>
      <w:marLeft w:val="0"/>
      <w:marRight w:val="0"/>
      <w:marTop w:val="0"/>
      <w:marBottom w:val="0"/>
      <w:divBdr>
        <w:top w:val="none" w:sz="0" w:space="0" w:color="auto"/>
        <w:left w:val="none" w:sz="0" w:space="0" w:color="auto"/>
        <w:bottom w:val="none" w:sz="0" w:space="0" w:color="auto"/>
        <w:right w:val="none" w:sz="0" w:space="0" w:color="auto"/>
      </w:divBdr>
    </w:div>
    <w:div w:id="1855873332">
      <w:bodyDiv w:val="1"/>
      <w:marLeft w:val="0"/>
      <w:marRight w:val="0"/>
      <w:marTop w:val="0"/>
      <w:marBottom w:val="0"/>
      <w:divBdr>
        <w:top w:val="none" w:sz="0" w:space="0" w:color="auto"/>
        <w:left w:val="none" w:sz="0" w:space="0" w:color="auto"/>
        <w:bottom w:val="none" w:sz="0" w:space="0" w:color="auto"/>
        <w:right w:val="none" w:sz="0" w:space="0" w:color="auto"/>
      </w:divBdr>
    </w:div>
    <w:div w:id="1856842677">
      <w:bodyDiv w:val="1"/>
      <w:marLeft w:val="0"/>
      <w:marRight w:val="0"/>
      <w:marTop w:val="0"/>
      <w:marBottom w:val="0"/>
      <w:divBdr>
        <w:top w:val="none" w:sz="0" w:space="0" w:color="auto"/>
        <w:left w:val="none" w:sz="0" w:space="0" w:color="auto"/>
        <w:bottom w:val="none" w:sz="0" w:space="0" w:color="auto"/>
        <w:right w:val="none" w:sz="0" w:space="0" w:color="auto"/>
      </w:divBdr>
    </w:div>
    <w:div w:id="1865482249">
      <w:bodyDiv w:val="1"/>
      <w:marLeft w:val="0"/>
      <w:marRight w:val="0"/>
      <w:marTop w:val="0"/>
      <w:marBottom w:val="0"/>
      <w:divBdr>
        <w:top w:val="none" w:sz="0" w:space="0" w:color="auto"/>
        <w:left w:val="none" w:sz="0" w:space="0" w:color="auto"/>
        <w:bottom w:val="none" w:sz="0" w:space="0" w:color="auto"/>
        <w:right w:val="none" w:sz="0" w:space="0" w:color="auto"/>
      </w:divBdr>
    </w:div>
    <w:div w:id="1872378917">
      <w:bodyDiv w:val="1"/>
      <w:marLeft w:val="0"/>
      <w:marRight w:val="0"/>
      <w:marTop w:val="0"/>
      <w:marBottom w:val="0"/>
      <w:divBdr>
        <w:top w:val="none" w:sz="0" w:space="0" w:color="auto"/>
        <w:left w:val="none" w:sz="0" w:space="0" w:color="auto"/>
        <w:bottom w:val="none" w:sz="0" w:space="0" w:color="auto"/>
        <w:right w:val="none" w:sz="0" w:space="0" w:color="auto"/>
      </w:divBdr>
      <w:divsChild>
        <w:div w:id="549732780">
          <w:marLeft w:val="0"/>
          <w:marRight w:val="0"/>
          <w:marTop w:val="0"/>
          <w:marBottom w:val="0"/>
          <w:divBdr>
            <w:top w:val="none" w:sz="0" w:space="0" w:color="auto"/>
            <w:left w:val="none" w:sz="0" w:space="0" w:color="auto"/>
            <w:bottom w:val="none" w:sz="0" w:space="0" w:color="auto"/>
            <w:right w:val="none" w:sz="0" w:space="0" w:color="auto"/>
          </w:divBdr>
        </w:div>
      </w:divsChild>
    </w:div>
    <w:div w:id="1875192789">
      <w:bodyDiv w:val="1"/>
      <w:marLeft w:val="0"/>
      <w:marRight w:val="0"/>
      <w:marTop w:val="0"/>
      <w:marBottom w:val="0"/>
      <w:divBdr>
        <w:top w:val="none" w:sz="0" w:space="0" w:color="auto"/>
        <w:left w:val="none" w:sz="0" w:space="0" w:color="auto"/>
        <w:bottom w:val="none" w:sz="0" w:space="0" w:color="auto"/>
        <w:right w:val="none" w:sz="0" w:space="0" w:color="auto"/>
      </w:divBdr>
    </w:div>
    <w:div w:id="1877884430">
      <w:bodyDiv w:val="1"/>
      <w:marLeft w:val="0"/>
      <w:marRight w:val="0"/>
      <w:marTop w:val="0"/>
      <w:marBottom w:val="0"/>
      <w:divBdr>
        <w:top w:val="none" w:sz="0" w:space="0" w:color="auto"/>
        <w:left w:val="none" w:sz="0" w:space="0" w:color="auto"/>
        <w:bottom w:val="none" w:sz="0" w:space="0" w:color="auto"/>
        <w:right w:val="none" w:sz="0" w:space="0" w:color="auto"/>
      </w:divBdr>
    </w:div>
    <w:div w:id="1881167735">
      <w:bodyDiv w:val="1"/>
      <w:marLeft w:val="0"/>
      <w:marRight w:val="0"/>
      <w:marTop w:val="0"/>
      <w:marBottom w:val="0"/>
      <w:divBdr>
        <w:top w:val="none" w:sz="0" w:space="0" w:color="auto"/>
        <w:left w:val="none" w:sz="0" w:space="0" w:color="auto"/>
        <w:bottom w:val="none" w:sz="0" w:space="0" w:color="auto"/>
        <w:right w:val="none" w:sz="0" w:space="0" w:color="auto"/>
      </w:divBdr>
    </w:div>
    <w:div w:id="1889102769">
      <w:bodyDiv w:val="1"/>
      <w:marLeft w:val="0"/>
      <w:marRight w:val="0"/>
      <w:marTop w:val="0"/>
      <w:marBottom w:val="0"/>
      <w:divBdr>
        <w:top w:val="none" w:sz="0" w:space="0" w:color="auto"/>
        <w:left w:val="none" w:sz="0" w:space="0" w:color="auto"/>
        <w:bottom w:val="none" w:sz="0" w:space="0" w:color="auto"/>
        <w:right w:val="none" w:sz="0" w:space="0" w:color="auto"/>
      </w:divBdr>
    </w:div>
    <w:div w:id="1893538859">
      <w:bodyDiv w:val="1"/>
      <w:marLeft w:val="0"/>
      <w:marRight w:val="0"/>
      <w:marTop w:val="0"/>
      <w:marBottom w:val="0"/>
      <w:divBdr>
        <w:top w:val="none" w:sz="0" w:space="0" w:color="auto"/>
        <w:left w:val="none" w:sz="0" w:space="0" w:color="auto"/>
        <w:bottom w:val="none" w:sz="0" w:space="0" w:color="auto"/>
        <w:right w:val="none" w:sz="0" w:space="0" w:color="auto"/>
      </w:divBdr>
    </w:div>
    <w:div w:id="1907182534">
      <w:bodyDiv w:val="1"/>
      <w:marLeft w:val="0"/>
      <w:marRight w:val="0"/>
      <w:marTop w:val="0"/>
      <w:marBottom w:val="0"/>
      <w:divBdr>
        <w:top w:val="none" w:sz="0" w:space="0" w:color="auto"/>
        <w:left w:val="none" w:sz="0" w:space="0" w:color="auto"/>
        <w:bottom w:val="none" w:sz="0" w:space="0" w:color="auto"/>
        <w:right w:val="none" w:sz="0" w:space="0" w:color="auto"/>
      </w:divBdr>
      <w:divsChild>
        <w:div w:id="435835165">
          <w:marLeft w:val="0"/>
          <w:marRight w:val="0"/>
          <w:marTop w:val="0"/>
          <w:marBottom w:val="0"/>
          <w:divBdr>
            <w:top w:val="none" w:sz="0" w:space="0" w:color="auto"/>
            <w:left w:val="none" w:sz="0" w:space="0" w:color="auto"/>
            <w:bottom w:val="none" w:sz="0" w:space="0" w:color="auto"/>
            <w:right w:val="none" w:sz="0" w:space="0" w:color="auto"/>
          </w:divBdr>
          <w:divsChild>
            <w:div w:id="754938261">
              <w:marLeft w:val="-225"/>
              <w:marRight w:val="-225"/>
              <w:marTop w:val="0"/>
              <w:marBottom w:val="0"/>
              <w:divBdr>
                <w:top w:val="none" w:sz="0" w:space="0" w:color="auto"/>
                <w:left w:val="none" w:sz="0" w:space="0" w:color="auto"/>
                <w:bottom w:val="none" w:sz="0" w:space="0" w:color="auto"/>
                <w:right w:val="none" w:sz="0" w:space="0" w:color="auto"/>
              </w:divBdr>
              <w:divsChild>
                <w:div w:id="137549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094168">
      <w:bodyDiv w:val="1"/>
      <w:marLeft w:val="0"/>
      <w:marRight w:val="0"/>
      <w:marTop w:val="0"/>
      <w:marBottom w:val="0"/>
      <w:divBdr>
        <w:top w:val="none" w:sz="0" w:space="0" w:color="auto"/>
        <w:left w:val="none" w:sz="0" w:space="0" w:color="auto"/>
        <w:bottom w:val="none" w:sz="0" w:space="0" w:color="auto"/>
        <w:right w:val="none" w:sz="0" w:space="0" w:color="auto"/>
      </w:divBdr>
    </w:div>
    <w:div w:id="1924100366">
      <w:bodyDiv w:val="1"/>
      <w:marLeft w:val="0"/>
      <w:marRight w:val="0"/>
      <w:marTop w:val="0"/>
      <w:marBottom w:val="0"/>
      <w:divBdr>
        <w:top w:val="none" w:sz="0" w:space="0" w:color="auto"/>
        <w:left w:val="none" w:sz="0" w:space="0" w:color="auto"/>
        <w:bottom w:val="none" w:sz="0" w:space="0" w:color="auto"/>
        <w:right w:val="none" w:sz="0" w:space="0" w:color="auto"/>
      </w:divBdr>
    </w:div>
    <w:div w:id="1928228582">
      <w:bodyDiv w:val="1"/>
      <w:marLeft w:val="0"/>
      <w:marRight w:val="0"/>
      <w:marTop w:val="0"/>
      <w:marBottom w:val="0"/>
      <w:divBdr>
        <w:top w:val="none" w:sz="0" w:space="0" w:color="auto"/>
        <w:left w:val="none" w:sz="0" w:space="0" w:color="auto"/>
        <w:bottom w:val="none" w:sz="0" w:space="0" w:color="auto"/>
        <w:right w:val="none" w:sz="0" w:space="0" w:color="auto"/>
      </w:divBdr>
    </w:div>
    <w:div w:id="1931547263">
      <w:bodyDiv w:val="1"/>
      <w:marLeft w:val="0"/>
      <w:marRight w:val="0"/>
      <w:marTop w:val="0"/>
      <w:marBottom w:val="0"/>
      <w:divBdr>
        <w:top w:val="none" w:sz="0" w:space="0" w:color="auto"/>
        <w:left w:val="none" w:sz="0" w:space="0" w:color="auto"/>
        <w:bottom w:val="none" w:sz="0" w:space="0" w:color="auto"/>
        <w:right w:val="none" w:sz="0" w:space="0" w:color="auto"/>
      </w:divBdr>
      <w:divsChild>
        <w:div w:id="1167407404">
          <w:marLeft w:val="0"/>
          <w:marRight w:val="0"/>
          <w:marTop w:val="0"/>
          <w:marBottom w:val="0"/>
          <w:divBdr>
            <w:top w:val="none" w:sz="0" w:space="0" w:color="auto"/>
            <w:left w:val="none" w:sz="0" w:space="0" w:color="auto"/>
            <w:bottom w:val="none" w:sz="0" w:space="0" w:color="auto"/>
            <w:right w:val="none" w:sz="0" w:space="0" w:color="auto"/>
          </w:divBdr>
        </w:div>
        <w:div w:id="1705328016">
          <w:marLeft w:val="0"/>
          <w:marRight w:val="0"/>
          <w:marTop w:val="0"/>
          <w:marBottom w:val="0"/>
          <w:divBdr>
            <w:top w:val="none" w:sz="0" w:space="0" w:color="auto"/>
            <w:left w:val="none" w:sz="0" w:space="0" w:color="auto"/>
            <w:bottom w:val="none" w:sz="0" w:space="0" w:color="auto"/>
            <w:right w:val="none" w:sz="0" w:space="0" w:color="auto"/>
          </w:divBdr>
        </w:div>
        <w:div w:id="1512602727">
          <w:marLeft w:val="0"/>
          <w:marRight w:val="0"/>
          <w:marTop w:val="0"/>
          <w:marBottom w:val="0"/>
          <w:divBdr>
            <w:top w:val="none" w:sz="0" w:space="0" w:color="auto"/>
            <w:left w:val="none" w:sz="0" w:space="0" w:color="auto"/>
            <w:bottom w:val="none" w:sz="0" w:space="0" w:color="auto"/>
            <w:right w:val="none" w:sz="0" w:space="0" w:color="auto"/>
          </w:divBdr>
        </w:div>
        <w:div w:id="737050047">
          <w:marLeft w:val="0"/>
          <w:marRight w:val="0"/>
          <w:marTop w:val="0"/>
          <w:marBottom w:val="0"/>
          <w:divBdr>
            <w:top w:val="none" w:sz="0" w:space="0" w:color="auto"/>
            <w:left w:val="none" w:sz="0" w:space="0" w:color="auto"/>
            <w:bottom w:val="none" w:sz="0" w:space="0" w:color="auto"/>
            <w:right w:val="none" w:sz="0" w:space="0" w:color="auto"/>
          </w:divBdr>
        </w:div>
        <w:div w:id="584802769">
          <w:marLeft w:val="0"/>
          <w:marRight w:val="0"/>
          <w:marTop w:val="0"/>
          <w:marBottom w:val="0"/>
          <w:divBdr>
            <w:top w:val="none" w:sz="0" w:space="0" w:color="auto"/>
            <w:left w:val="none" w:sz="0" w:space="0" w:color="auto"/>
            <w:bottom w:val="none" w:sz="0" w:space="0" w:color="auto"/>
            <w:right w:val="none" w:sz="0" w:space="0" w:color="auto"/>
          </w:divBdr>
        </w:div>
        <w:div w:id="824979272">
          <w:marLeft w:val="0"/>
          <w:marRight w:val="0"/>
          <w:marTop w:val="0"/>
          <w:marBottom w:val="0"/>
          <w:divBdr>
            <w:top w:val="none" w:sz="0" w:space="0" w:color="auto"/>
            <w:left w:val="none" w:sz="0" w:space="0" w:color="auto"/>
            <w:bottom w:val="none" w:sz="0" w:space="0" w:color="auto"/>
            <w:right w:val="none" w:sz="0" w:space="0" w:color="auto"/>
          </w:divBdr>
        </w:div>
        <w:div w:id="80877055">
          <w:marLeft w:val="0"/>
          <w:marRight w:val="0"/>
          <w:marTop w:val="0"/>
          <w:marBottom w:val="0"/>
          <w:divBdr>
            <w:top w:val="none" w:sz="0" w:space="0" w:color="auto"/>
            <w:left w:val="none" w:sz="0" w:space="0" w:color="auto"/>
            <w:bottom w:val="none" w:sz="0" w:space="0" w:color="auto"/>
            <w:right w:val="none" w:sz="0" w:space="0" w:color="auto"/>
          </w:divBdr>
        </w:div>
        <w:div w:id="1659963341">
          <w:marLeft w:val="0"/>
          <w:marRight w:val="0"/>
          <w:marTop w:val="0"/>
          <w:marBottom w:val="0"/>
          <w:divBdr>
            <w:top w:val="none" w:sz="0" w:space="0" w:color="auto"/>
            <w:left w:val="none" w:sz="0" w:space="0" w:color="auto"/>
            <w:bottom w:val="none" w:sz="0" w:space="0" w:color="auto"/>
            <w:right w:val="none" w:sz="0" w:space="0" w:color="auto"/>
          </w:divBdr>
        </w:div>
        <w:div w:id="1155609676">
          <w:marLeft w:val="0"/>
          <w:marRight w:val="0"/>
          <w:marTop w:val="0"/>
          <w:marBottom w:val="0"/>
          <w:divBdr>
            <w:top w:val="none" w:sz="0" w:space="0" w:color="auto"/>
            <w:left w:val="none" w:sz="0" w:space="0" w:color="auto"/>
            <w:bottom w:val="none" w:sz="0" w:space="0" w:color="auto"/>
            <w:right w:val="none" w:sz="0" w:space="0" w:color="auto"/>
          </w:divBdr>
        </w:div>
        <w:div w:id="1719353794">
          <w:marLeft w:val="0"/>
          <w:marRight w:val="0"/>
          <w:marTop w:val="0"/>
          <w:marBottom w:val="0"/>
          <w:divBdr>
            <w:top w:val="none" w:sz="0" w:space="0" w:color="auto"/>
            <w:left w:val="none" w:sz="0" w:space="0" w:color="auto"/>
            <w:bottom w:val="none" w:sz="0" w:space="0" w:color="auto"/>
            <w:right w:val="none" w:sz="0" w:space="0" w:color="auto"/>
          </w:divBdr>
        </w:div>
        <w:div w:id="1136948259">
          <w:marLeft w:val="0"/>
          <w:marRight w:val="0"/>
          <w:marTop w:val="0"/>
          <w:marBottom w:val="0"/>
          <w:divBdr>
            <w:top w:val="none" w:sz="0" w:space="0" w:color="auto"/>
            <w:left w:val="none" w:sz="0" w:space="0" w:color="auto"/>
            <w:bottom w:val="none" w:sz="0" w:space="0" w:color="auto"/>
            <w:right w:val="none" w:sz="0" w:space="0" w:color="auto"/>
          </w:divBdr>
        </w:div>
        <w:div w:id="359162266">
          <w:marLeft w:val="0"/>
          <w:marRight w:val="0"/>
          <w:marTop w:val="0"/>
          <w:marBottom w:val="0"/>
          <w:divBdr>
            <w:top w:val="none" w:sz="0" w:space="0" w:color="auto"/>
            <w:left w:val="none" w:sz="0" w:space="0" w:color="auto"/>
            <w:bottom w:val="none" w:sz="0" w:space="0" w:color="auto"/>
            <w:right w:val="none" w:sz="0" w:space="0" w:color="auto"/>
          </w:divBdr>
        </w:div>
        <w:div w:id="1686520149">
          <w:marLeft w:val="0"/>
          <w:marRight w:val="0"/>
          <w:marTop w:val="0"/>
          <w:marBottom w:val="0"/>
          <w:divBdr>
            <w:top w:val="none" w:sz="0" w:space="0" w:color="auto"/>
            <w:left w:val="none" w:sz="0" w:space="0" w:color="auto"/>
            <w:bottom w:val="none" w:sz="0" w:space="0" w:color="auto"/>
            <w:right w:val="none" w:sz="0" w:space="0" w:color="auto"/>
          </w:divBdr>
        </w:div>
        <w:div w:id="1830052871">
          <w:marLeft w:val="0"/>
          <w:marRight w:val="0"/>
          <w:marTop w:val="0"/>
          <w:marBottom w:val="0"/>
          <w:divBdr>
            <w:top w:val="none" w:sz="0" w:space="0" w:color="auto"/>
            <w:left w:val="none" w:sz="0" w:space="0" w:color="auto"/>
            <w:bottom w:val="none" w:sz="0" w:space="0" w:color="auto"/>
            <w:right w:val="none" w:sz="0" w:space="0" w:color="auto"/>
          </w:divBdr>
        </w:div>
        <w:div w:id="278028177">
          <w:marLeft w:val="0"/>
          <w:marRight w:val="0"/>
          <w:marTop w:val="0"/>
          <w:marBottom w:val="0"/>
          <w:divBdr>
            <w:top w:val="none" w:sz="0" w:space="0" w:color="auto"/>
            <w:left w:val="none" w:sz="0" w:space="0" w:color="auto"/>
            <w:bottom w:val="none" w:sz="0" w:space="0" w:color="auto"/>
            <w:right w:val="none" w:sz="0" w:space="0" w:color="auto"/>
          </w:divBdr>
        </w:div>
        <w:div w:id="1901482247">
          <w:marLeft w:val="0"/>
          <w:marRight w:val="0"/>
          <w:marTop w:val="0"/>
          <w:marBottom w:val="0"/>
          <w:divBdr>
            <w:top w:val="none" w:sz="0" w:space="0" w:color="auto"/>
            <w:left w:val="none" w:sz="0" w:space="0" w:color="auto"/>
            <w:bottom w:val="none" w:sz="0" w:space="0" w:color="auto"/>
            <w:right w:val="none" w:sz="0" w:space="0" w:color="auto"/>
          </w:divBdr>
        </w:div>
        <w:div w:id="316501357">
          <w:marLeft w:val="0"/>
          <w:marRight w:val="0"/>
          <w:marTop w:val="0"/>
          <w:marBottom w:val="0"/>
          <w:divBdr>
            <w:top w:val="none" w:sz="0" w:space="0" w:color="auto"/>
            <w:left w:val="none" w:sz="0" w:space="0" w:color="auto"/>
            <w:bottom w:val="none" w:sz="0" w:space="0" w:color="auto"/>
            <w:right w:val="none" w:sz="0" w:space="0" w:color="auto"/>
          </w:divBdr>
        </w:div>
        <w:div w:id="377516087">
          <w:marLeft w:val="0"/>
          <w:marRight w:val="0"/>
          <w:marTop w:val="0"/>
          <w:marBottom w:val="0"/>
          <w:divBdr>
            <w:top w:val="none" w:sz="0" w:space="0" w:color="auto"/>
            <w:left w:val="none" w:sz="0" w:space="0" w:color="auto"/>
            <w:bottom w:val="none" w:sz="0" w:space="0" w:color="auto"/>
            <w:right w:val="none" w:sz="0" w:space="0" w:color="auto"/>
          </w:divBdr>
        </w:div>
        <w:div w:id="157381207">
          <w:marLeft w:val="0"/>
          <w:marRight w:val="0"/>
          <w:marTop w:val="0"/>
          <w:marBottom w:val="0"/>
          <w:divBdr>
            <w:top w:val="none" w:sz="0" w:space="0" w:color="auto"/>
            <w:left w:val="none" w:sz="0" w:space="0" w:color="auto"/>
            <w:bottom w:val="none" w:sz="0" w:space="0" w:color="auto"/>
            <w:right w:val="none" w:sz="0" w:space="0" w:color="auto"/>
          </w:divBdr>
        </w:div>
        <w:div w:id="546452995">
          <w:marLeft w:val="0"/>
          <w:marRight w:val="0"/>
          <w:marTop w:val="0"/>
          <w:marBottom w:val="0"/>
          <w:divBdr>
            <w:top w:val="none" w:sz="0" w:space="0" w:color="auto"/>
            <w:left w:val="none" w:sz="0" w:space="0" w:color="auto"/>
            <w:bottom w:val="none" w:sz="0" w:space="0" w:color="auto"/>
            <w:right w:val="none" w:sz="0" w:space="0" w:color="auto"/>
          </w:divBdr>
        </w:div>
        <w:div w:id="520245527">
          <w:marLeft w:val="0"/>
          <w:marRight w:val="0"/>
          <w:marTop w:val="0"/>
          <w:marBottom w:val="0"/>
          <w:divBdr>
            <w:top w:val="none" w:sz="0" w:space="0" w:color="auto"/>
            <w:left w:val="none" w:sz="0" w:space="0" w:color="auto"/>
            <w:bottom w:val="none" w:sz="0" w:space="0" w:color="auto"/>
            <w:right w:val="none" w:sz="0" w:space="0" w:color="auto"/>
          </w:divBdr>
        </w:div>
      </w:divsChild>
    </w:div>
    <w:div w:id="1934433955">
      <w:bodyDiv w:val="1"/>
      <w:marLeft w:val="0"/>
      <w:marRight w:val="0"/>
      <w:marTop w:val="0"/>
      <w:marBottom w:val="0"/>
      <w:divBdr>
        <w:top w:val="none" w:sz="0" w:space="0" w:color="auto"/>
        <w:left w:val="none" w:sz="0" w:space="0" w:color="auto"/>
        <w:bottom w:val="none" w:sz="0" w:space="0" w:color="auto"/>
        <w:right w:val="none" w:sz="0" w:space="0" w:color="auto"/>
      </w:divBdr>
    </w:div>
    <w:div w:id="1944417758">
      <w:bodyDiv w:val="1"/>
      <w:marLeft w:val="0"/>
      <w:marRight w:val="0"/>
      <w:marTop w:val="0"/>
      <w:marBottom w:val="0"/>
      <w:divBdr>
        <w:top w:val="none" w:sz="0" w:space="0" w:color="auto"/>
        <w:left w:val="none" w:sz="0" w:space="0" w:color="auto"/>
        <w:bottom w:val="none" w:sz="0" w:space="0" w:color="auto"/>
        <w:right w:val="none" w:sz="0" w:space="0" w:color="auto"/>
      </w:divBdr>
    </w:div>
    <w:div w:id="1950237176">
      <w:bodyDiv w:val="1"/>
      <w:marLeft w:val="0"/>
      <w:marRight w:val="0"/>
      <w:marTop w:val="0"/>
      <w:marBottom w:val="0"/>
      <w:divBdr>
        <w:top w:val="none" w:sz="0" w:space="0" w:color="auto"/>
        <w:left w:val="none" w:sz="0" w:space="0" w:color="auto"/>
        <w:bottom w:val="none" w:sz="0" w:space="0" w:color="auto"/>
        <w:right w:val="none" w:sz="0" w:space="0" w:color="auto"/>
      </w:divBdr>
    </w:div>
    <w:div w:id="1950428908">
      <w:bodyDiv w:val="1"/>
      <w:marLeft w:val="0"/>
      <w:marRight w:val="0"/>
      <w:marTop w:val="0"/>
      <w:marBottom w:val="0"/>
      <w:divBdr>
        <w:top w:val="none" w:sz="0" w:space="0" w:color="auto"/>
        <w:left w:val="none" w:sz="0" w:space="0" w:color="auto"/>
        <w:bottom w:val="none" w:sz="0" w:space="0" w:color="auto"/>
        <w:right w:val="none" w:sz="0" w:space="0" w:color="auto"/>
      </w:divBdr>
      <w:divsChild>
        <w:div w:id="116070125">
          <w:marLeft w:val="0"/>
          <w:marRight w:val="0"/>
          <w:marTop w:val="0"/>
          <w:marBottom w:val="0"/>
          <w:divBdr>
            <w:top w:val="none" w:sz="0" w:space="0" w:color="auto"/>
            <w:left w:val="none" w:sz="0" w:space="0" w:color="auto"/>
            <w:bottom w:val="none" w:sz="0" w:space="0" w:color="auto"/>
            <w:right w:val="none" w:sz="0" w:space="0" w:color="auto"/>
          </w:divBdr>
          <w:divsChild>
            <w:div w:id="151585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708138">
      <w:bodyDiv w:val="1"/>
      <w:marLeft w:val="0"/>
      <w:marRight w:val="0"/>
      <w:marTop w:val="0"/>
      <w:marBottom w:val="0"/>
      <w:divBdr>
        <w:top w:val="none" w:sz="0" w:space="0" w:color="auto"/>
        <w:left w:val="none" w:sz="0" w:space="0" w:color="auto"/>
        <w:bottom w:val="none" w:sz="0" w:space="0" w:color="auto"/>
        <w:right w:val="none" w:sz="0" w:space="0" w:color="auto"/>
      </w:divBdr>
    </w:div>
    <w:div w:id="1955167420">
      <w:bodyDiv w:val="1"/>
      <w:marLeft w:val="0"/>
      <w:marRight w:val="0"/>
      <w:marTop w:val="0"/>
      <w:marBottom w:val="0"/>
      <w:divBdr>
        <w:top w:val="none" w:sz="0" w:space="0" w:color="auto"/>
        <w:left w:val="none" w:sz="0" w:space="0" w:color="auto"/>
        <w:bottom w:val="none" w:sz="0" w:space="0" w:color="auto"/>
        <w:right w:val="none" w:sz="0" w:space="0" w:color="auto"/>
      </w:divBdr>
    </w:div>
    <w:div w:id="1956449099">
      <w:bodyDiv w:val="1"/>
      <w:marLeft w:val="0"/>
      <w:marRight w:val="0"/>
      <w:marTop w:val="0"/>
      <w:marBottom w:val="0"/>
      <w:divBdr>
        <w:top w:val="none" w:sz="0" w:space="0" w:color="auto"/>
        <w:left w:val="none" w:sz="0" w:space="0" w:color="auto"/>
        <w:bottom w:val="none" w:sz="0" w:space="0" w:color="auto"/>
        <w:right w:val="none" w:sz="0" w:space="0" w:color="auto"/>
      </w:divBdr>
    </w:div>
    <w:div w:id="1963537110">
      <w:bodyDiv w:val="1"/>
      <w:marLeft w:val="0"/>
      <w:marRight w:val="0"/>
      <w:marTop w:val="0"/>
      <w:marBottom w:val="0"/>
      <w:divBdr>
        <w:top w:val="none" w:sz="0" w:space="0" w:color="auto"/>
        <w:left w:val="none" w:sz="0" w:space="0" w:color="auto"/>
        <w:bottom w:val="none" w:sz="0" w:space="0" w:color="auto"/>
        <w:right w:val="none" w:sz="0" w:space="0" w:color="auto"/>
      </w:divBdr>
    </w:div>
    <w:div w:id="1967466751">
      <w:bodyDiv w:val="1"/>
      <w:marLeft w:val="0"/>
      <w:marRight w:val="0"/>
      <w:marTop w:val="0"/>
      <w:marBottom w:val="0"/>
      <w:divBdr>
        <w:top w:val="none" w:sz="0" w:space="0" w:color="auto"/>
        <w:left w:val="none" w:sz="0" w:space="0" w:color="auto"/>
        <w:bottom w:val="none" w:sz="0" w:space="0" w:color="auto"/>
        <w:right w:val="none" w:sz="0" w:space="0" w:color="auto"/>
      </w:divBdr>
      <w:divsChild>
        <w:div w:id="162016766">
          <w:marLeft w:val="0"/>
          <w:marRight w:val="0"/>
          <w:marTop w:val="0"/>
          <w:marBottom w:val="0"/>
          <w:divBdr>
            <w:top w:val="none" w:sz="0" w:space="0" w:color="auto"/>
            <w:left w:val="none" w:sz="0" w:space="0" w:color="auto"/>
            <w:bottom w:val="none" w:sz="0" w:space="0" w:color="auto"/>
            <w:right w:val="none" w:sz="0" w:space="0" w:color="auto"/>
          </w:divBdr>
        </w:div>
      </w:divsChild>
    </w:div>
    <w:div w:id="1978030236">
      <w:bodyDiv w:val="1"/>
      <w:marLeft w:val="0"/>
      <w:marRight w:val="0"/>
      <w:marTop w:val="0"/>
      <w:marBottom w:val="0"/>
      <w:divBdr>
        <w:top w:val="none" w:sz="0" w:space="0" w:color="auto"/>
        <w:left w:val="none" w:sz="0" w:space="0" w:color="auto"/>
        <w:bottom w:val="none" w:sz="0" w:space="0" w:color="auto"/>
        <w:right w:val="none" w:sz="0" w:space="0" w:color="auto"/>
      </w:divBdr>
      <w:divsChild>
        <w:div w:id="1783570941">
          <w:marLeft w:val="0"/>
          <w:marRight w:val="0"/>
          <w:marTop w:val="0"/>
          <w:marBottom w:val="0"/>
          <w:divBdr>
            <w:top w:val="none" w:sz="0" w:space="0" w:color="auto"/>
            <w:left w:val="none" w:sz="0" w:space="0" w:color="auto"/>
            <w:bottom w:val="none" w:sz="0" w:space="0" w:color="auto"/>
            <w:right w:val="none" w:sz="0" w:space="0" w:color="auto"/>
          </w:divBdr>
          <w:divsChild>
            <w:div w:id="223420344">
              <w:marLeft w:val="0"/>
              <w:marRight w:val="0"/>
              <w:marTop w:val="0"/>
              <w:marBottom w:val="0"/>
              <w:divBdr>
                <w:top w:val="none" w:sz="0" w:space="0" w:color="auto"/>
                <w:left w:val="none" w:sz="0" w:space="0" w:color="auto"/>
                <w:bottom w:val="none" w:sz="0" w:space="0" w:color="auto"/>
                <w:right w:val="none" w:sz="0" w:space="0" w:color="auto"/>
              </w:divBdr>
              <w:divsChild>
                <w:div w:id="454757234">
                  <w:marLeft w:val="0"/>
                  <w:marRight w:val="0"/>
                  <w:marTop w:val="0"/>
                  <w:marBottom w:val="0"/>
                  <w:divBdr>
                    <w:top w:val="none" w:sz="0" w:space="0" w:color="auto"/>
                    <w:left w:val="none" w:sz="0" w:space="0" w:color="auto"/>
                    <w:bottom w:val="none" w:sz="0" w:space="0" w:color="auto"/>
                    <w:right w:val="none" w:sz="0" w:space="0" w:color="auto"/>
                  </w:divBdr>
                  <w:divsChild>
                    <w:div w:id="1150899984">
                      <w:marLeft w:val="0"/>
                      <w:marRight w:val="0"/>
                      <w:marTop w:val="0"/>
                      <w:marBottom w:val="0"/>
                      <w:divBdr>
                        <w:top w:val="none" w:sz="0" w:space="0" w:color="auto"/>
                        <w:left w:val="none" w:sz="0" w:space="0" w:color="auto"/>
                        <w:bottom w:val="none" w:sz="0" w:space="0" w:color="auto"/>
                        <w:right w:val="none" w:sz="0" w:space="0" w:color="auto"/>
                      </w:divBdr>
                      <w:divsChild>
                        <w:div w:id="888608378">
                          <w:marLeft w:val="0"/>
                          <w:marRight w:val="0"/>
                          <w:marTop w:val="0"/>
                          <w:marBottom w:val="0"/>
                          <w:divBdr>
                            <w:top w:val="none" w:sz="0" w:space="0" w:color="auto"/>
                            <w:left w:val="none" w:sz="0" w:space="0" w:color="auto"/>
                            <w:bottom w:val="none" w:sz="0" w:space="0" w:color="auto"/>
                            <w:right w:val="none" w:sz="0" w:space="0" w:color="auto"/>
                          </w:divBdr>
                          <w:divsChild>
                            <w:div w:id="44253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8729025">
      <w:bodyDiv w:val="1"/>
      <w:marLeft w:val="0"/>
      <w:marRight w:val="0"/>
      <w:marTop w:val="0"/>
      <w:marBottom w:val="0"/>
      <w:divBdr>
        <w:top w:val="none" w:sz="0" w:space="0" w:color="auto"/>
        <w:left w:val="none" w:sz="0" w:space="0" w:color="auto"/>
        <w:bottom w:val="none" w:sz="0" w:space="0" w:color="auto"/>
        <w:right w:val="none" w:sz="0" w:space="0" w:color="auto"/>
      </w:divBdr>
    </w:div>
    <w:div w:id="1992825956">
      <w:bodyDiv w:val="1"/>
      <w:marLeft w:val="0"/>
      <w:marRight w:val="0"/>
      <w:marTop w:val="0"/>
      <w:marBottom w:val="0"/>
      <w:divBdr>
        <w:top w:val="none" w:sz="0" w:space="0" w:color="auto"/>
        <w:left w:val="none" w:sz="0" w:space="0" w:color="auto"/>
        <w:bottom w:val="none" w:sz="0" w:space="0" w:color="auto"/>
        <w:right w:val="none" w:sz="0" w:space="0" w:color="auto"/>
      </w:divBdr>
      <w:divsChild>
        <w:div w:id="1892419607">
          <w:marLeft w:val="0"/>
          <w:marRight w:val="0"/>
          <w:marTop w:val="0"/>
          <w:marBottom w:val="0"/>
          <w:divBdr>
            <w:top w:val="none" w:sz="0" w:space="0" w:color="auto"/>
            <w:left w:val="none" w:sz="0" w:space="0" w:color="auto"/>
            <w:bottom w:val="none" w:sz="0" w:space="0" w:color="auto"/>
            <w:right w:val="none" w:sz="0" w:space="0" w:color="auto"/>
          </w:divBdr>
          <w:divsChild>
            <w:div w:id="1722710658">
              <w:marLeft w:val="0"/>
              <w:marRight w:val="0"/>
              <w:marTop w:val="0"/>
              <w:marBottom w:val="0"/>
              <w:divBdr>
                <w:top w:val="none" w:sz="0" w:space="0" w:color="auto"/>
                <w:left w:val="none" w:sz="0" w:space="0" w:color="auto"/>
                <w:bottom w:val="none" w:sz="0" w:space="0" w:color="auto"/>
                <w:right w:val="none" w:sz="0" w:space="0" w:color="auto"/>
              </w:divBdr>
              <w:divsChild>
                <w:div w:id="2084714132">
                  <w:marLeft w:val="0"/>
                  <w:marRight w:val="0"/>
                  <w:marTop w:val="0"/>
                  <w:marBottom w:val="0"/>
                  <w:divBdr>
                    <w:top w:val="none" w:sz="0" w:space="0" w:color="auto"/>
                    <w:left w:val="none" w:sz="0" w:space="0" w:color="auto"/>
                    <w:bottom w:val="none" w:sz="0" w:space="0" w:color="auto"/>
                    <w:right w:val="none" w:sz="0" w:space="0" w:color="auto"/>
                  </w:divBdr>
                  <w:divsChild>
                    <w:div w:id="6375796">
                      <w:marLeft w:val="0"/>
                      <w:marRight w:val="0"/>
                      <w:marTop w:val="0"/>
                      <w:marBottom w:val="0"/>
                      <w:divBdr>
                        <w:top w:val="none" w:sz="0" w:space="0" w:color="auto"/>
                        <w:left w:val="none" w:sz="0" w:space="0" w:color="auto"/>
                        <w:bottom w:val="none" w:sz="0" w:space="0" w:color="auto"/>
                        <w:right w:val="none" w:sz="0" w:space="0" w:color="auto"/>
                      </w:divBdr>
                      <w:divsChild>
                        <w:div w:id="894118618">
                          <w:marLeft w:val="0"/>
                          <w:marRight w:val="0"/>
                          <w:marTop w:val="0"/>
                          <w:marBottom w:val="0"/>
                          <w:divBdr>
                            <w:top w:val="none" w:sz="0" w:space="0" w:color="auto"/>
                            <w:left w:val="none" w:sz="0" w:space="0" w:color="auto"/>
                            <w:bottom w:val="none" w:sz="0" w:space="0" w:color="auto"/>
                            <w:right w:val="none" w:sz="0" w:space="0" w:color="auto"/>
                          </w:divBdr>
                          <w:divsChild>
                            <w:div w:id="952591081">
                              <w:marLeft w:val="0"/>
                              <w:marRight w:val="0"/>
                              <w:marTop w:val="0"/>
                              <w:marBottom w:val="0"/>
                              <w:divBdr>
                                <w:top w:val="none" w:sz="0" w:space="0" w:color="auto"/>
                                <w:left w:val="none" w:sz="0" w:space="0" w:color="auto"/>
                                <w:bottom w:val="none" w:sz="0" w:space="0" w:color="auto"/>
                                <w:right w:val="none" w:sz="0" w:space="0" w:color="auto"/>
                              </w:divBdr>
                              <w:divsChild>
                                <w:div w:id="89694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4942594">
      <w:bodyDiv w:val="1"/>
      <w:marLeft w:val="0"/>
      <w:marRight w:val="0"/>
      <w:marTop w:val="0"/>
      <w:marBottom w:val="0"/>
      <w:divBdr>
        <w:top w:val="none" w:sz="0" w:space="0" w:color="auto"/>
        <w:left w:val="none" w:sz="0" w:space="0" w:color="auto"/>
        <w:bottom w:val="none" w:sz="0" w:space="0" w:color="auto"/>
        <w:right w:val="none" w:sz="0" w:space="0" w:color="auto"/>
      </w:divBdr>
    </w:div>
    <w:div w:id="2008944847">
      <w:marLeft w:val="0"/>
      <w:marRight w:val="0"/>
      <w:marTop w:val="0"/>
      <w:marBottom w:val="0"/>
      <w:divBdr>
        <w:top w:val="none" w:sz="0" w:space="0" w:color="auto"/>
        <w:left w:val="none" w:sz="0" w:space="0" w:color="auto"/>
        <w:bottom w:val="none" w:sz="0" w:space="0" w:color="auto"/>
        <w:right w:val="none" w:sz="0" w:space="0" w:color="auto"/>
      </w:divBdr>
      <w:divsChild>
        <w:div w:id="1501699812">
          <w:marLeft w:val="0"/>
          <w:marRight w:val="0"/>
          <w:marTop w:val="0"/>
          <w:marBottom w:val="0"/>
          <w:divBdr>
            <w:top w:val="none" w:sz="0" w:space="0" w:color="auto"/>
            <w:left w:val="none" w:sz="0" w:space="0" w:color="auto"/>
            <w:bottom w:val="none" w:sz="0" w:space="0" w:color="auto"/>
            <w:right w:val="none" w:sz="0" w:space="0" w:color="auto"/>
          </w:divBdr>
          <w:divsChild>
            <w:div w:id="1544362211">
              <w:marLeft w:val="0"/>
              <w:marRight w:val="0"/>
              <w:marTop w:val="0"/>
              <w:marBottom w:val="0"/>
              <w:divBdr>
                <w:top w:val="none" w:sz="0" w:space="0" w:color="auto"/>
                <w:left w:val="none" w:sz="0" w:space="0" w:color="auto"/>
                <w:bottom w:val="none" w:sz="0" w:space="0" w:color="auto"/>
                <w:right w:val="none" w:sz="0" w:space="0" w:color="auto"/>
              </w:divBdr>
            </w:div>
          </w:divsChild>
        </w:div>
        <w:div w:id="2116703828">
          <w:marLeft w:val="0"/>
          <w:marRight w:val="0"/>
          <w:marTop w:val="0"/>
          <w:marBottom w:val="0"/>
          <w:divBdr>
            <w:top w:val="none" w:sz="0" w:space="0" w:color="auto"/>
            <w:left w:val="none" w:sz="0" w:space="0" w:color="auto"/>
            <w:bottom w:val="none" w:sz="0" w:space="0" w:color="auto"/>
            <w:right w:val="none" w:sz="0" w:space="0" w:color="auto"/>
          </w:divBdr>
          <w:divsChild>
            <w:div w:id="258370054">
              <w:marLeft w:val="0"/>
              <w:marRight w:val="0"/>
              <w:marTop w:val="0"/>
              <w:marBottom w:val="0"/>
              <w:divBdr>
                <w:top w:val="none" w:sz="0" w:space="0" w:color="auto"/>
                <w:left w:val="none" w:sz="0" w:space="0" w:color="auto"/>
                <w:bottom w:val="none" w:sz="0" w:space="0" w:color="auto"/>
                <w:right w:val="none" w:sz="0" w:space="0" w:color="auto"/>
              </w:divBdr>
              <w:divsChild>
                <w:div w:id="726685839">
                  <w:marLeft w:val="0"/>
                  <w:marRight w:val="0"/>
                  <w:marTop w:val="0"/>
                  <w:marBottom w:val="0"/>
                  <w:divBdr>
                    <w:top w:val="none" w:sz="0" w:space="0" w:color="auto"/>
                    <w:left w:val="none" w:sz="0" w:space="0" w:color="auto"/>
                    <w:bottom w:val="none" w:sz="0" w:space="0" w:color="auto"/>
                    <w:right w:val="none" w:sz="0" w:space="0" w:color="auto"/>
                  </w:divBdr>
                  <w:divsChild>
                    <w:div w:id="155518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623139">
      <w:bodyDiv w:val="1"/>
      <w:marLeft w:val="0"/>
      <w:marRight w:val="0"/>
      <w:marTop w:val="0"/>
      <w:marBottom w:val="0"/>
      <w:divBdr>
        <w:top w:val="none" w:sz="0" w:space="0" w:color="auto"/>
        <w:left w:val="none" w:sz="0" w:space="0" w:color="auto"/>
        <w:bottom w:val="none" w:sz="0" w:space="0" w:color="auto"/>
        <w:right w:val="none" w:sz="0" w:space="0" w:color="auto"/>
      </w:divBdr>
      <w:divsChild>
        <w:div w:id="152533400">
          <w:marLeft w:val="0"/>
          <w:marRight w:val="0"/>
          <w:marTop w:val="0"/>
          <w:marBottom w:val="0"/>
          <w:divBdr>
            <w:top w:val="none" w:sz="0" w:space="0" w:color="auto"/>
            <w:left w:val="none" w:sz="0" w:space="0" w:color="auto"/>
            <w:bottom w:val="none" w:sz="0" w:space="0" w:color="auto"/>
            <w:right w:val="none" w:sz="0" w:space="0" w:color="auto"/>
          </w:divBdr>
          <w:divsChild>
            <w:div w:id="145922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113371">
      <w:bodyDiv w:val="1"/>
      <w:marLeft w:val="0"/>
      <w:marRight w:val="0"/>
      <w:marTop w:val="0"/>
      <w:marBottom w:val="0"/>
      <w:divBdr>
        <w:top w:val="none" w:sz="0" w:space="0" w:color="auto"/>
        <w:left w:val="none" w:sz="0" w:space="0" w:color="auto"/>
        <w:bottom w:val="none" w:sz="0" w:space="0" w:color="auto"/>
        <w:right w:val="none" w:sz="0" w:space="0" w:color="auto"/>
      </w:divBdr>
    </w:div>
    <w:div w:id="2025394813">
      <w:bodyDiv w:val="1"/>
      <w:marLeft w:val="0"/>
      <w:marRight w:val="0"/>
      <w:marTop w:val="0"/>
      <w:marBottom w:val="0"/>
      <w:divBdr>
        <w:top w:val="none" w:sz="0" w:space="0" w:color="auto"/>
        <w:left w:val="none" w:sz="0" w:space="0" w:color="auto"/>
        <w:bottom w:val="none" w:sz="0" w:space="0" w:color="auto"/>
        <w:right w:val="none" w:sz="0" w:space="0" w:color="auto"/>
      </w:divBdr>
    </w:div>
    <w:div w:id="2026129856">
      <w:bodyDiv w:val="1"/>
      <w:marLeft w:val="0"/>
      <w:marRight w:val="0"/>
      <w:marTop w:val="0"/>
      <w:marBottom w:val="0"/>
      <w:divBdr>
        <w:top w:val="none" w:sz="0" w:space="0" w:color="auto"/>
        <w:left w:val="none" w:sz="0" w:space="0" w:color="auto"/>
        <w:bottom w:val="none" w:sz="0" w:space="0" w:color="auto"/>
        <w:right w:val="none" w:sz="0" w:space="0" w:color="auto"/>
      </w:divBdr>
    </w:div>
    <w:div w:id="2029595532">
      <w:bodyDiv w:val="1"/>
      <w:marLeft w:val="0"/>
      <w:marRight w:val="0"/>
      <w:marTop w:val="0"/>
      <w:marBottom w:val="0"/>
      <w:divBdr>
        <w:top w:val="none" w:sz="0" w:space="0" w:color="auto"/>
        <w:left w:val="none" w:sz="0" w:space="0" w:color="auto"/>
        <w:bottom w:val="none" w:sz="0" w:space="0" w:color="auto"/>
        <w:right w:val="none" w:sz="0" w:space="0" w:color="auto"/>
      </w:divBdr>
      <w:divsChild>
        <w:div w:id="304357109">
          <w:marLeft w:val="0"/>
          <w:marRight w:val="0"/>
          <w:marTop w:val="0"/>
          <w:marBottom w:val="0"/>
          <w:divBdr>
            <w:top w:val="none" w:sz="0" w:space="0" w:color="auto"/>
            <w:left w:val="none" w:sz="0" w:space="0" w:color="auto"/>
            <w:bottom w:val="none" w:sz="0" w:space="0" w:color="auto"/>
            <w:right w:val="none" w:sz="0" w:space="0" w:color="auto"/>
          </w:divBdr>
          <w:divsChild>
            <w:div w:id="128157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838247">
      <w:bodyDiv w:val="1"/>
      <w:marLeft w:val="0"/>
      <w:marRight w:val="0"/>
      <w:marTop w:val="0"/>
      <w:marBottom w:val="0"/>
      <w:divBdr>
        <w:top w:val="none" w:sz="0" w:space="0" w:color="auto"/>
        <w:left w:val="none" w:sz="0" w:space="0" w:color="auto"/>
        <w:bottom w:val="none" w:sz="0" w:space="0" w:color="auto"/>
        <w:right w:val="none" w:sz="0" w:space="0" w:color="auto"/>
      </w:divBdr>
      <w:divsChild>
        <w:div w:id="2075660496">
          <w:marLeft w:val="0"/>
          <w:marRight w:val="0"/>
          <w:marTop w:val="0"/>
          <w:marBottom w:val="0"/>
          <w:divBdr>
            <w:top w:val="none" w:sz="0" w:space="0" w:color="auto"/>
            <w:left w:val="none" w:sz="0" w:space="0" w:color="auto"/>
            <w:bottom w:val="none" w:sz="0" w:space="0" w:color="auto"/>
            <w:right w:val="none" w:sz="0" w:space="0" w:color="auto"/>
          </w:divBdr>
        </w:div>
      </w:divsChild>
    </w:div>
    <w:div w:id="2056420378">
      <w:bodyDiv w:val="1"/>
      <w:marLeft w:val="0"/>
      <w:marRight w:val="0"/>
      <w:marTop w:val="0"/>
      <w:marBottom w:val="0"/>
      <w:divBdr>
        <w:top w:val="none" w:sz="0" w:space="0" w:color="auto"/>
        <w:left w:val="none" w:sz="0" w:space="0" w:color="auto"/>
        <w:bottom w:val="none" w:sz="0" w:space="0" w:color="auto"/>
        <w:right w:val="none" w:sz="0" w:space="0" w:color="auto"/>
      </w:divBdr>
      <w:divsChild>
        <w:div w:id="846141468">
          <w:marLeft w:val="0"/>
          <w:marRight w:val="0"/>
          <w:marTop w:val="0"/>
          <w:marBottom w:val="0"/>
          <w:divBdr>
            <w:top w:val="none" w:sz="0" w:space="0" w:color="auto"/>
            <w:left w:val="none" w:sz="0" w:space="0" w:color="auto"/>
            <w:bottom w:val="none" w:sz="0" w:space="0" w:color="auto"/>
            <w:right w:val="none" w:sz="0" w:space="0" w:color="auto"/>
          </w:divBdr>
          <w:divsChild>
            <w:div w:id="89011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896358">
      <w:bodyDiv w:val="1"/>
      <w:marLeft w:val="0"/>
      <w:marRight w:val="0"/>
      <w:marTop w:val="0"/>
      <w:marBottom w:val="0"/>
      <w:divBdr>
        <w:top w:val="none" w:sz="0" w:space="0" w:color="auto"/>
        <w:left w:val="none" w:sz="0" w:space="0" w:color="auto"/>
        <w:bottom w:val="none" w:sz="0" w:space="0" w:color="auto"/>
        <w:right w:val="none" w:sz="0" w:space="0" w:color="auto"/>
      </w:divBdr>
    </w:div>
    <w:div w:id="2062708211">
      <w:bodyDiv w:val="1"/>
      <w:marLeft w:val="0"/>
      <w:marRight w:val="0"/>
      <w:marTop w:val="0"/>
      <w:marBottom w:val="0"/>
      <w:divBdr>
        <w:top w:val="none" w:sz="0" w:space="0" w:color="auto"/>
        <w:left w:val="none" w:sz="0" w:space="0" w:color="auto"/>
        <w:bottom w:val="none" w:sz="0" w:space="0" w:color="auto"/>
        <w:right w:val="none" w:sz="0" w:space="0" w:color="auto"/>
      </w:divBdr>
    </w:div>
    <w:div w:id="2068332883">
      <w:bodyDiv w:val="1"/>
      <w:marLeft w:val="0"/>
      <w:marRight w:val="0"/>
      <w:marTop w:val="0"/>
      <w:marBottom w:val="0"/>
      <w:divBdr>
        <w:top w:val="none" w:sz="0" w:space="0" w:color="auto"/>
        <w:left w:val="none" w:sz="0" w:space="0" w:color="auto"/>
        <w:bottom w:val="none" w:sz="0" w:space="0" w:color="auto"/>
        <w:right w:val="none" w:sz="0" w:space="0" w:color="auto"/>
      </w:divBdr>
    </w:div>
    <w:div w:id="2079666861">
      <w:bodyDiv w:val="1"/>
      <w:marLeft w:val="0"/>
      <w:marRight w:val="0"/>
      <w:marTop w:val="0"/>
      <w:marBottom w:val="0"/>
      <w:divBdr>
        <w:top w:val="none" w:sz="0" w:space="0" w:color="auto"/>
        <w:left w:val="none" w:sz="0" w:space="0" w:color="auto"/>
        <w:bottom w:val="none" w:sz="0" w:space="0" w:color="auto"/>
        <w:right w:val="none" w:sz="0" w:space="0" w:color="auto"/>
      </w:divBdr>
    </w:div>
    <w:div w:id="2081753326">
      <w:marLeft w:val="0"/>
      <w:marRight w:val="0"/>
      <w:marTop w:val="0"/>
      <w:marBottom w:val="0"/>
      <w:divBdr>
        <w:top w:val="none" w:sz="0" w:space="0" w:color="auto"/>
        <w:left w:val="none" w:sz="0" w:space="0" w:color="auto"/>
        <w:bottom w:val="none" w:sz="0" w:space="0" w:color="auto"/>
        <w:right w:val="none" w:sz="0" w:space="0" w:color="auto"/>
      </w:divBdr>
      <w:divsChild>
        <w:div w:id="1704407301">
          <w:marLeft w:val="0"/>
          <w:marRight w:val="0"/>
          <w:marTop w:val="0"/>
          <w:marBottom w:val="0"/>
          <w:divBdr>
            <w:top w:val="none" w:sz="0" w:space="0" w:color="auto"/>
            <w:left w:val="none" w:sz="0" w:space="0" w:color="auto"/>
            <w:bottom w:val="none" w:sz="0" w:space="0" w:color="auto"/>
            <w:right w:val="none" w:sz="0" w:space="0" w:color="auto"/>
          </w:divBdr>
        </w:div>
        <w:div w:id="502009949">
          <w:marLeft w:val="0"/>
          <w:marRight w:val="0"/>
          <w:marTop w:val="0"/>
          <w:marBottom w:val="0"/>
          <w:divBdr>
            <w:top w:val="none" w:sz="0" w:space="0" w:color="auto"/>
            <w:left w:val="none" w:sz="0" w:space="0" w:color="auto"/>
            <w:bottom w:val="none" w:sz="0" w:space="0" w:color="auto"/>
            <w:right w:val="none" w:sz="0" w:space="0" w:color="auto"/>
          </w:divBdr>
        </w:div>
        <w:div w:id="1180318283">
          <w:marLeft w:val="0"/>
          <w:marRight w:val="0"/>
          <w:marTop w:val="0"/>
          <w:marBottom w:val="0"/>
          <w:divBdr>
            <w:top w:val="none" w:sz="0" w:space="0" w:color="auto"/>
            <w:left w:val="none" w:sz="0" w:space="0" w:color="auto"/>
            <w:bottom w:val="none" w:sz="0" w:space="0" w:color="auto"/>
            <w:right w:val="none" w:sz="0" w:space="0" w:color="auto"/>
          </w:divBdr>
        </w:div>
        <w:div w:id="139225746">
          <w:marLeft w:val="0"/>
          <w:marRight w:val="0"/>
          <w:marTop w:val="0"/>
          <w:marBottom w:val="0"/>
          <w:divBdr>
            <w:top w:val="none" w:sz="0" w:space="0" w:color="auto"/>
            <w:left w:val="none" w:sz="0" w:space="0" w:color="auto"/>
            <w:bottom w:val="none" w:sz="0" w:space="0" w:color="auto"/>
            <w:right w:val="none" w:sz="0" w:space="0" w:color="auto"/>
          </w:divBdr>
          <w:divsChild>
            <w:div w:id="862716822">
              <w:marLeft w:val="0"/>
              <w:marRight w:val="0"/>
              <w:marTop w:val="0"/>
              <w:marBottom w:val="0"/>
              <w:divBdr>
                <w:top w:val="none" w:sz="0" w:space="0" w:color="auto"/>
                <w:left w:val="none" w:sz="0" w:space="0" w:color="auto"/>
                <w:bottom w:val="none" w:sz="0" w:space="0" w:color="auto"/>
                <w:right w:val="none" w:sz="0" w:space="0" w:color="auto"/>
              </w:divBdr>
              <w:divsChild>
                <w:div w:id="1939824684">
                  <w:marLeft w:val="0"/>
                  <w:marRight w:val="0"/>
                  <w:marTop w:val="0"/>
                  <w:marBottom w:val="0"/>
                  <w:divBdr>
                    <w:top w:val="none" w:sz="0" w:space="0" w:color="auto"/>
                    <w:left w:val="none" w:sz="0" w:space="0" w:color="auto"/>
                    <w:bottom w:val="none" w:sz="0" w:space="0" w:color="auto"/>
                    <w:right w:val="none" w:sz="0" w:space="0" w:color="auto"/>
                  </w:divBdr>
                </w:div>
                <w:div w:id="56468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125421">
          <w:marLeft w:val="0"/>
          <w:marRight w:val="0"/>
          <w:marTop w:val="0"/>
          <w:marBottom w:val="0"/>
          <w:divBdr>
            <w:top w:val="none" w:sz="0" w:space="0" w:color="auto"/>
            <w:left w:val="none" w:sz="0" w:space="0" w:color="auto"/>
            <w:bottom w:val="none" w:sz="0" w:space="0" w:color="auto"/>
            <w:right w:val="none" w:sz="0" w:space="0" w:color="auto"/>
          </w:divBdr>
          <w:divsChild>
            <w:div w:id="1156414788">
              <w:marLeft w:val="0"/>
              <w:marRight w:val="0"/>
              <w:marTop w:val="0"/>
              <w:marBottom w:val="0"/>
              <w:divBdr>
                <w:top w:val="none" w:sz="0" w:space="0" w:color="auto"/>
                <w:left w:val="none" w:sz="0" w:space="0" w:color="auto"/>
                <w:bottom w:val="none" w:sz="0" w:space="0" w:color="auto"/>
                <w:right w:val="none" w:sz="0" w:space="0" w:color="auto"/>
              </w:divBdr>
              <w:divsChild>
                <w:div w:id="14616242">
                  <w:marLeft w:val="0"/>
                  <w:marRight w:val="0"/>
                  <w:marTop w:val="0"/>
                  <w:marBottom w:val="0"/>
                  <w:divBdr>
                    <w:top w:val="none" w:sz="0" w:space="0" w:color="auto"/>
                    <w:left w:val="none" w:sz="0" w:space="0" w:color="auto"/>
                    <w:bottom w:val="none" w:sz="0" w:space="0" w:color="auto"/>
                    <w:right w:val="none" w:sz="0" w:space="0" w:color="auto"/>
                  </w:divBdr>
                </w:div>
                <w:div w:id="1685748618">
                  <w:marLeft w:val="0"/>
                  <w:marRight w:val="0"/>
                  <w:marTop w:val="0"/>
                  <w:marBottom w:val="0"/>
                  <w:divBdr>
                    <w:top w:val="none" w:sz="0" w:space="0" w:color="auto"/>
                    <w:left w:val="none" w:sz="0" w:space="0" w:color="auto"/>
                    <w:bottom w:val="none" w:sz="0" w:space="0" w:color="auto"/>
                    <w:right w:val="none" w:sz="0" w:space="0" w:color="auto"/>
                  </w:divBdr>
                </w:div>
                <w:div w:id="203765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642677">
          <w:marLeft w:val="0"/>
          <w:marRight w:val="0"/>
          <w:marTop w:val="0"/>
          <w:marBottom w:val="0"/>
          <w:divBdr>
            <w:top w:val="none" w:sz="0" w:space="0" w:color="auto"/>
            <w:left w:val="none" w:sz="0" w:space="0" w:color="auto"/>
            <w:bottom w:val="none" w:sz="0" w:space="0" w:color="auto"/>
            <w:right w:val="none" w:sz="0" w:space="0" w:color="auto"/>
          </w:divBdr>
          <w:divsChild>
            <w:div w:id="1205143853">
              <w:marLeft w:val="0"/>
              <w:marRight w:val="0"/>
              <w:marTop w:val="0"/>
              <w:marBottom w:val="0"/>
              <w:divBdr>
                <w:top w:val="none" w:sz="0" w:space="0" w:color="auto"/>
                <w:left w:val="none" w:sz="0" w:space="0" w:color="auto"/>
                <w:bottom w:val="none" w:sz="0" w:space="0" w:color="auto"/>
                <w:right w:val="none" w:sz="0" w:space="0" w:color="auto"/>
              </w:divBdr>
              <w:divsChild>
                <w:div w:id="1126854907">
                  <w:marLeft w:val="0"/>
                  <w:marRight w:val="0"/>
                  <w:marTop w:val="0"/>
                  <w:marBottom w:val="0"/>
                  <w:divBdr>
                    <w:top w:val="none" w:sz="0" w:space="0" w:color="auto"/>
                    <w:left w:val="none" w:sz="0" w:space="0" w:color="auto"/>
                    <w:bottom w:val="none" w:sz="0" w:space="0" w:color="auto"/>
                    <w:right w:val="none" w:sz="0" w:space="0" w:color="auto"/>
                  </w:divBdr>
                </w:div>
                <w:div w:id="14254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798361">
      <w:bodyDiv w:val="1"/>
      <w:marLeft w:val="0"/>
      <w:marRight w:val="0"/>
      <w:marTop w:val="0"/>
      <w:marBottom w:val="0"/>
      <w:divBdr>
        <w:top w:val="none" w:sz="0" w:space="0" w:color="auto"/>
        <w:left w:val="none" w:sz="0" w:space="0" w:color="auto"/>
        <w:bottom w:val="none" w:sz="0" w:space="0" w:color="auto"/>
        <w:right w:val="none" w:sz="0" w:space="0" w:color="auto"/>
      </w:divBdr>
    </w:div>
    <w:div w:id="2104758923">
      <w:bodyDiv w:val="1"/>
      <w:marLeft w:val="0"/>
      <w:marRight w:val="0"/>
      <w:marTop w:val="0"/>
      <w:marBottom w:val="0"/>
      <w:divBdr>
        <w:top w:val="none" w:sz="0" w:space="0" w:color="auto"/>
        <w:left w:val="none" w:sz="0" w:space="0" w:color="auto"/>
        <w:bottom w:val="none" w:sz="0" w:space="0" w:color="auto"/>
        <w:right w:val="none" w:sz="0" w:space="0" w:color="auto"/>
      </w:divBdr>
    </w:div>
    <w:div w:id="2104951595">
      <w:bodyDiv w:val="1"/>
      <w:marLeft w:val="0"/>
      <w:marRight w:val="0"/>
      <w:marTop w:val="0"/>
      <w:marBottom w:val="0"/>
      <w:divBdr>
        <w:top w:val="none" w:sz="0" w:space="0" w:color="auto"/>
        <w:left w:val="none" w:sz="0" w:space="0" w:color="auto"/>
        <w:bottom w:val="none" w:sz="0" w:space="0" w:color="auto"/>
        <w:right w:val="none" w:sz="0" w:space="0" w:color="auto"/>
      </w:divBdr>
      <w:divsChild>
        <w:div w:id="44255584">
          <w:marLeft w:val="0"/>
          <w:marRight w:val="0"/>
          <w:marTop w:val="0"/>
          <w:marBottom w:val="0"/>
          <w:divBdr>
            <w:top w:val="none" w:sz="0" w:space="0" w:color="auto"/>
            <w:left w:val="none" w:sz="0" w:space="0" w:color="auto"/>
            <w:bottom w:val="none" w:sz="0" w:space="0" w:color="auto"/>
            <w:right w:val="none" w:sz="0" w:space="0" w:color="auto"/>
          </w:divBdr>
          <w:divsChild>
            <w:div w:id="1207566676">
              <w:marLeft w:val="-225"/>
              <w:marRight w:val="-225"/>
              <w:marTop w:val="0"/>
              <w:marBottom w:val="0"/>
              <w:divBdr>
                <w:top w:val="none" w:sz="0" w:space="0" w:color="auto"/>
                <w:left w:val="none" w:sz="0" w:space="0" w:color="auto"/>
                <w:bottom w:val="none" w:sz="0" w:space="0" w:color="auto"/>
                <w:right w:val="none" w:sz="0" w:space="0" w:color="auto"/>
              </w:divBdr>
              <w:divsChild>
                <w:div w:id="1565137380">
                  <w:marLeft w:val="0"/>
                  <w:marRight w:val="0"/>
                  <w:marTop w:val="0"/>
                  <w:marBottom w:val="0"/>
                  <w:divBdr>
                    <w:top w:val="none" w:sz="0" w:space="0" w:color="auto"/>
                    <w:left w:val="none" w:sz="0" w:space="0" w:color="auto"/>
                    <w:bottom w:val="none" w:sz="0" w:space="0" w:color="auto"/>
                    <w:right w:val="none" w:sz="0" w:space="0" w:color="auto"/>
                  </w:divBdr>
                  <w:divsChild>
                    <w:div w:id="866482137">
                      <w:marLeft w:val="-225"/>
                      <w:marRight w:val="-225"/>
                      <w:marTop w:val="0"/>
                      <w:marBottom w:val="0"/>
                      <w:divBdr>
                        <w:top w:val="none" w:sz="0" w:space="0" w:color="auto"/>
                        <w:left w:val="none" w:sz="0" w:space="0" w:color="auto"/>
                        <w:bottom w:val="none" w:sz="0" w:space="0" w:color="auto"/>
                        <w:right w:val="none" w:sz="0" w:space="0" w:color="auto"/>
                      </w:divBdr>
                      <w:divsChild>
                        <w:div w:id="107743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6001558">
      <w:bodyDiv w:val="1"/>
      <w:marLeft w:val="0"/>
      <w:marRight w:val="0"/>
      <w:marTop w:val="0"/>
      <w:marBottom w:val="0"/>
      <w:divBdr>
        <w:top w:val="none" w:sz="0" w:space="0" w:color="auto"/>
        <w:left w:val="none" w:sz="0" w:space="0" w:color="auto"/>
        <w:bottom w:val="none" w:sz="0" w:space="0" w:color="auto"/>
        <w:right w:val="none" w:sz="0" w:space="0" w:color="auto"/>
      </w:divBdr>
      <w:divsChild>
        <w:div w:id="351762193">
          <w:marLeft w:val="0"/>
          <w:marRight w:val="0"/>
          <w:marTop w:val="0"/>
          <w:marBottom w:val="0"/>
          <w:divBdr>
            <w:top w:val="none" w:sz="0" w:space="0" w:color="auto"/>
            <w:left w:val="none" w:sz="0" w:space="0" w:color="auto"/>
            <w:bottom w:val="none" w:sz="0" w:space="0" w:color="auto"/>
            <w:right w:val="none" w:sz="0" w:space="0" w:color="auto"/>
          </w:divBdr>
          <w:divsChild>
            <w:div w:id="1364478291">
              <w:marLeft w:val="0"/>
              <w:marRight w:val="0"/>
              <w:marTop w:val="0"/>
              <w:marBottom w:val="0"/>
              <w:divBdr>
                <w:top w:val="none" w:sz="0" w:space="0" w:color="auto"/>
                <w:left w:val="none" w:sz="0" w:space="0" w:color="auto"/>
                <w:bottom w:val="none" w:sz="0" w:space="0" w:color="auto"/>
                <w:right w:val="none" w:sz="0" w:space="0" w:color="auto"/>
              </w:divBdr>
              <w:divsChild>
                <w:div w:id="1618681136">
                  <w:marLeft w:val="0"/>
                  <w:marRight w:val="0"/>
                  <w:marTop w:val="0"/>
                  <w:marBottom w:val="0"/>
                  <w:divBdr>
                    <w:top w:val="none" w:sz="0" w:space="0" w:color="auto"/>
                    <w:left w:val="none" w:sz="0" w:space="0" w:color="auto"/>
                    <w:bottom w:val="none" w:sz="0" w:space="0" w:color="auto"/>
                    <w:right w:val="none" w:sz="0" w:space="0" w:color="auto"/>
                  </w:divBdr>
                  <w:divsChild>
                    <w:div w:id="97264908">
                      <w:marLeft w:val="0"/>
                      <w:marRight w:val="0"/>
                      <w:marTop w:val="0"/>
                      <w:marBottom w:val="0"/>
                      <w:divBdr>
                        <w:top w:val="none" w:sz="0" w:space="0" w:color="auto"/>
                        <w:left w:val="none" w:sz="0" w:space="0" w:color="auto"/>
                        <w:bottom w:val="none" w:sz="0" w:space="0" w:color="auto"/>
                        <w:right w:val="none" w:sz="0" w:space="0" w:color="auto"/>
                      </w:divBdr>
                      <w:divsChild>
                        <w:div w:id="1949583252">
                          <w:marLeft w:val="0"/>
                          <w:marRight w:val="0"/>
                          <w:marTop w:val="0"/>
                          <w:marBottom w:val="0"/>
                          <w:divBdr>
                            <w:top w:val="none" w:sz="0" w:space="0" w:color="auto"/>
                            <w:left w:val="none" w:sz="0" w:space="0" w:color="auto"/>
                            <w:bottom w:val="none" w:sz="0" w:space="0" w:color="auto"/>
                            <w:right w:val="none" w:sz="0" w:space="0" w:color="auto"/>
                          </w:divBdr>
                          <w:divsChild>
                            <w:div w:id="113136862">
                              <w:marLeft w:val="0"/>
                              <w:marRight w:val="0"/>
                              <w:marTop w:val="0"/>
                              <w:marBottom w:val="0"/>
                              <w:divBdr>
                                <w:top w:val="none" w:sz="0" w:space="0" w:color="auto"/>
                                <w:left w:val="none" w:sz="0" w:space="0" w:color="auto"/>
                                <w:bottom w:val="none" w:sz="0" w:space="0" w:color="auto"/>
                                <w:right w:val="none" w:sz="0" w:space="0" w:color="auto"/>
                              </w:divBdr>
                              <w:divsChild>
                                <w:div w:id="151993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6263911">
      <w:bodyDiv w:val="1"/>
      <w:marLeft w:val="0"/>
      <w:marRight w:val="0"/>
      <w:marTop w:val="0"/>
      <w:marBottom w:val="0"/>
      <w:divBdr>
        <w:top w:val="none" w:sz="0" w:space="0" w:color="auto"/>
        <w:left w:val="none" w:sz="0" w:space="0" w:color="auto"/>
        <w:bottom w:val="none" w:sz="0" w:space="0" w:color="auto"/>
        <w:right w:val="none" w:sz="0" w:space="0" w:color="auto"/>
      </w:divBdr>
    </w:div>
    <w:div w:id="2124183604">
      <w:bodyDiv w:val="1"/>
      <w:marLeft w:val="0"/>
      <w:marRight w:val="0"/>
      <w:marTop w:val="0"/>
      <w:marBottom w:val="0"/>
      <w:divBdr>
        <w:top w:val="none" w:sz="0" w:space="0" w:color="auto"/>
        <w:left w:val="none" w:sz="0" w:space="0" w:color="auto"/>
        <w:bottom w:val="none" w:sz="0" w:space="0" w:color="auto"/>
        <w:right w:val="none" w:sz="0" w:space="0" w:color="auto"/>
      </w:divBdr>
    </w:div>
    <w:div w:id="2126268797">
      <w:bodyDiv w:val="1"/>
      <w:marLeft w:val="0"/>
      <w:marRight w:val="0"/>
      <w:marTop w:val="0"/>
      <w:marBottom w:val="0"/>
      <w:divBdr>
        <w:top w:val="none" w:sz="0" w:space="0" w:color="auto"/>
        <w:left w:val="none" w:sz="0" w:space="0" w:color="auto"/>
        <w:bottom w:val="none" w:sz="0" w:space="0" w:color="auto"/>
        <w:right w:val="none" w:sz="0" w:space="0" w:color="auto"/>
      </w:divBdr>
      <w:divsChild>
        <w:div w:id="1060517735">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fdic.gov/news/news/press/2019/pr19083.html" TargetMode="External"/><Relationship Id="rId117" Type="http://schemas.openxmlformats.org/officeDocument/2006/relationships/hyperlink" Target="http://www.fincen.gov" TargetMode="External"/><Relationship Id="rId21" Type="http://schemas.openxmlformats.org/officeDocument/2006/relationships/hyperlink" Target="https://www.fdic.gov/news/board/2019/2019-08-20-notice-dis-a-fr.pdf" TargetMode="External"/><Relationship Id="rId42" Type="http://schemas.openxmlformats.org/officeDocument/2006/relationships/hyperlink" Target="https://www.fdic.gov/news/news/financial/2019/fil19052.html" TargetMode="External"/><Relationship Id="rId47" Type="http://schemas.openxmlformats.org/officeDocument/2006/relationships/hyperlink" Target="https://www.fdic.gov/regulations/resources/ombudsman/annualreport/2018-oo-annual-report.pdf" TargetMode="External"/><Relationship Id="rId63" Type="http://schemas.openxmlformats.org/officeDocument/2006/relationships/hyperlink" Target="https://www.ftc.gov/news-events/press-releases/2019/10/ftc-extends-deadline-comments-coppa-rule-until-december-9" TargetMode="External"/><Relationship Id="rId68" Type="http://schemas.openxmlformats.org/officeDocument/2006/relationships/hyperlink" Target="https://www.icba.org/news/news-details/2019/10/09/icba-issues-explainers-on-cannabis-banking-bill" TargetMode="External"/><Relationship Id="rId84" Type="http://schemas.openxmlformats.org/officeDocument/2006/relationships/hyperlink" Target="http://www.chicagofed.org/~/media/publications/mei/2019/mei-august2019-pdf.pdf" TargetMode="External"/><Relationship Id="rId89" Type="http://schemas.openxmlformats.org/officeDocument/2006/relationships/hyperlink" Target="https://www.govinfo.gov/content/pkg/FR-2019-10-17/pdf/2019-22568.pdf" TargetMode="External"/><Relationship Id="rId112" Type="http://schemas.openxmlformats.org/officeDocument/2006/relationships/hyperlink" Target="https://www.consumerfinance.gov/eregulations/1005" TargetMode="External"/><Relationship Id="rId133" Type="http://schemas.openxmlformats.org/officeDocument/2006/relationships/hyperlink" Target="http://www.treasury.gov/about/organizational-structure/offices/Pages/Office-of-Foreign-Assets-Control.aspx" TargetMode="External"/><Relationship Id="rId138" Type="http://schemas.openxmlformats.org/officeDocument/2006/relationships/hyperlink" Target="https://www.consumerfinance.gov/eregulations/1005" TargetMode="External"/><Relationship Id="rId16" Type="http://schemas.openxmlformats.org/officeDocument/2006/relationships/hyperlink" Target="https://www.fdic.gov/regulations/laws/rules/2000-8630.html" TargetMode="External"/><Relationship Id="rId107" Type="http://schemas.openxmlformats.org/officeDocument/2006/relationships/hyperlink" Target="http://www.csbs.org/Pages/default.aspx" TargetMode="External"/><Relationship Id="rId11" Type="http://schemas.openxmlformats.org/officeDocument/2006/relationships/hyperlink" Target="https://www.govinfo.gov/content/pkg/FR-2019-10-17/pdf/2019-22568.pdf" TargetMode="External"/><Relationship Id="rId32" Type="http://schemas.openxmlformats.org/officeDocument/2006/relationships/hyperlink" Target="https://ffiec.cfpb.gov" TargetMode="External"/><Relationship Id="rId37" Type="http://schemas.openxmlformats.org/officeDocument/2006/relationships/hyperlink" Target="https://www.fdic.gov/news/news/financial/2019/fil19063.html?source=govdelivery&amp;utm_medium=email&amp;utm_source=govdelivery" TargetMode="External"/><Relationship Id="rId53" Type="http://schemas.openxmlformats.org/officeDocument/2006/relationships/hyperlink" Target="https://www.occ.gov/news-issuances/news-releases/2019/nr-occ-2019-111.html" TargetMode="External"/><Relationship Id="rId58" Type="http://schemas.openxmlformats.org/officeDocument/2006/relationships/hyperlink" Target="https://www.ftc.gov/news-events/press-releases/2019/10/ftc-joins-charity-regulators-around-nation-world-raise-awareness" TargetMode="External"/><Relationship Id="rId74" Type="http://schemas.openxmlformats.org/officeDocument/2006/relationships/hyperlink" Target="https://www.csbs.org/john-ryan-statement-fdics-final-rule-cblr" TargetMode="External"/><Relationship Id="rId79" Type="http://schemas.openxmlformats.org/officeDocument/2006/relationships/hyperlink" Target="https://www.federalreserve.gov/newsevents/pressreleases/other20191017a.htm" TargetMode="External"/><Relationship Id="rId102" Type="http://schemas.openxmlformats.org/officeDocument/2006/relationships/footer" Target="footer2.xml"/><Relationship Id="rId123" Type="http://schemas.openxmlformats.org/officeDocument/2006/relationships/hyperlink" Target="http://harpprogram.org/" TargetMode="External"/><Relationship Id="rId128" Type="http://schemas.openxmlformats.org/officeDocument/2006/relationships/hyperlink" Target="http://www.hud.gov" TargetMode="External"/><Relationship Id="rId144" Type="http://schemas.openxmlformats.org/officeDocument/2006/relationships/hyperlink" Target="https://www.ffiec.gov/bsa_aml_infobase/pages_manual/OLM_015.htm" TargetMode="External"/><Relationship Id="rId149"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yperlink" Target="https://www.fdic.gov/news/news/press/2019/pr19092a.pdf" TargetMode="External"/><Relationship Id="rId95" Type="http://schemas.openxmlformats.org/officeDocument/2006/relationships/hyperlink" Target="https://www.fdic.gov/news/board/2019/2019-08-20-notice-sum-c-fr.pdf" TargetMode="External"/><Relationship Id="rId22" Type="http://schemas.openxmlformats.org/officeDocument/2006/relationships/hyperlink" Target="https://www.fdic.gov/news/news/press/2019/pr19088.html" TargetMode="External"/><Relationship Id="rId27" Type="http://schemas.openxmlformats.org/officeDocument/2006/relationships/hyperlink" Target="https://www.federalregister.gov/documents/2019/10/08/2019-21376/real-estate-appraisals" TargetMode="External"/><Relationship Id="rId43" Type="http://schemas.openxmlformats.org/officeDocument/2006/relationships/hyperlink" Target="https://www.fdic.gov/news/news/financial/2019/fil19052a.pdf" TargetMode="External"/><Relationship Id="rId48" Type="http://schemas.openxmlformats.org/officeDocument/2006/relationships/hyperlink" Target="https://www.fdic.gov/news/news/press/2019/pr19081.html" TargetMode="External"/><Relationship Id="rId64" Type="http://schemas.openxmlformats.org/officeDocument/2006/relationships/hyperlink" Target="https://www.dol.gov/newsroom/releases/whd/whd20190924" TargetMode="External"/><Relationship Id="rId69" Type="http://schemas.openxmlformats.org/officeDocument/2006/relationships/hyperlink" Target="https://www.csbs.org/msblawcomments" TargetMode="External"/><Relationship Id="rId113" Type="http://schemas.openxmlformats.org/officeDocument/2006/relationships/hyperlink" Target="http://www.fema.gov" TargetMode="External"/><Relationship Id="rId118" Type="http://schemas.openxmlformats.org/officeDocument/2006/relationships/hyperlink" Target="https://www.federalregister.gov/" TargetMode="External"/><Relationship Id="rId134" Type="http://schemas.openxmlformats.org/officeDocument/2006/relationships/hyperlink" Target="http://www.occ.gov/topics/credit/commercial-credit/other-real-estate-owned.html" TargetMode="External"/><Relationship Id="rId139" Type="http://schemas.openxmlformats.org/officeDocument/2006/relationships/hyperlink" Target="http://www.ecfr.gov/cgi-bin/text-idx?c=ecfr&amp;tpl=/ecfrbrowse/Title12/12cfr1007_main_02.tpl" TargetMode="External"/><Relationship Id="rId80" Type="http://schemas.openxmlformats.org/officeDocument/2006/relationships/hyperlink" Target="https://www.federalreserve.gov/newsevents/speech/brainard20191016a.htm" TargetMode="External"/><Relationship Id="rId85" Type="http://schemas.openxmlformats.org/officeDocument/2006/relationships/hyperlink" Target="https://www.federalreserve.gov/econres/notes/feds-notes/housing-affordability-in-the-us-trends-by-geography-tenure-and-household-income-20190927.htm" TargetMode="External"/><Relationship Id="rId15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fdic.gov/news/news/financial/2019/fil19061.html" TargetMode="External"/><Relationship Id="rId17" Type="http://schemas.openxmlformats.org/officeDocument/2006/relationships/hyperlink" Target="https://www.govinfo.gov/content/pkg/FR-2019-10-17/pdf/2019-22656.pdf" TargetMode="External"/><Relationship Id="rId25" Type="http://schemas.openxmlformats.org/officeDocument/2006/relationships/hyperlink" Target="https://files.consumerfinance.gov/f/documents/cfpb_firrea-concurrence_2019_08.pdf" TargetMode="External"/><Relationship Id="rId33" Type="http://schemas.openxmlformats.org/officeDocument/2006/relationships/hyperlink" Target="https://s3.amazonaws.com/cfpb-hmda-public/prod/help/2020-hmda-fig.pdf" TargetMode="External"/><Relationship Id="rId38" Type="http://schemas.openxmlformats.org/officeDocument/2006/relationships/hyperlink" Target="https://www.fdic.gov/communitybanking/index.html" TargetMode="External"/><Relationship Id="rId46" Type="http://schemas.openxmlformats.org/officeDocument/2006/relationships/hyperlink" Target="https://www.fdic.gov/consumers/consumer/news/september2019.html?source=govdelivery&amp;utm_medium=email&amp;utm_source=govdelivery" TargetMode="External"/><Relationship Id="rId59" Type="http://schemas.openxmlformats.org/officeDocument/2006/relationships/image" Target="media/image7.png"/><Relationship Id="rId67" Type="http://schemas.openxmlformats.org/officeDocument/2006/relationships/hyperlink" Target="https://www.icba.org/docs/default-source/icba/advocacy-documents/summaries/safefaqs19-10-09.pdf?sfvrsn=e53c5317_0" TargetMode="External"/><Relationship Id="rId103" Type="http://schemas.openxmlformats.org/officeDocument/2006/relationships/hyperlink" Target="https://www.consumerfinance.gov/" TargetMode="External"/><Relationship Id="rId108" Type="http://schemas.openxmlformats.org/officeDocument/2006/relationships/hyperlink" Target="https://www.ffiec.gov/bsa_aml_infobase/pages_manual/olm_017.htm" TargetMode="External"/><Relationship Id="rId116" Type="http://schemas.openxmlformats.org/officeDocument/2006/relationships/hyperlink" Target="http://portal.hud.gov/hudportal/HUD?src=/federal_housing_administration" TargetMode="External"/><Relationship Id="rId124" Type="http://schemas.openxmlformats.org/officeDocument/2006/relationships/hyperlink" Target="https://www.hmpadmin.com/portal/programs/hamp.jsp" TargetMode="External"/><Relationship Id="rId129" Type="http://schemas.openxmlformats.org/officeDocument/2006/relationships/hyperlink" Target="https://www.irs.gov/" TargetMode="External"/><Relationship Id="rId137" Type="http://schemas.openxmlformats.org/officeDocument/2006/relationships/hyperlink" Target="https://www.consumerfinance.gov/eregulations/1030" TargetMode="External"/><Relationship Id="rId20" Type="http://schemas.openxmlformats.org/officeDocument/2006/relationships/hyperlink" Target="https://www.fdic.gov/news/news/press/2019/pr19091.html" TargetMode="External"/><Relationship Id="rId41" Type="http://schemas.openxmlformats.org/officeDocument/2006/relationships/hyperlink" Target="https://www.fdic.gov/news/news/press/2019/pr19087.html" TargetMode="External"/><Relationship Id="rId54" Type="http://schemas.openxmlformats.org/officeDocument/2006/relationships/hyperlink" Target="https://www.occ.gov/publications-and-resources/publications/mortgage-metrics-reports/files/mortgage-metrics-report-q2-2019.html" TargetMode="External"/><Relationship Id="rId62" Type="http://schemas.openxmlformats.org/officeDocument/2006/relationships/hyperlink" Target="https://www.ftc.gov/news-events/press-releases/2019/07/ftc-seeks-comments-childrens-online-privacy-protection-act-rule" TargetMode="External"/><Relationship Id="rId70" Type="http://schemas.openxmlformats.org/officeDocument/2006/relationships/hyperlink" Target="https://www.csbs.org/state-financial-regulators-seek-public-comment-model-payments-law" TargetMode="External"/><Relationship Id="rId75" Type="http://schemas.openxmlformats.org/officeDocument/2006/relationships/hyperlink" Target="https://www.dob.texas.gov/public/uploads/files/Applications-Forms-Publications/Publications/Suns/suns10-2019.pdf" TargetMode="External"/><Relationship Id="rId83" Type="http://schemas.openxmlformats.org/officeDocument/2006/relationships/hyperlink" Target="https://www.federalreserve.gov/newsevents/speech/bowman20191001a.htm" TargetMode="External"/><Relationship Id="rId88" Type="http://schemas.openxmlformats.org/officeDocument/2006/relationships/hyperlink" Target="https://www.govinfo.gov/content/pkg/FR-2019-10-17/pdf/2019-22656.pdf" TargetMode="External"/><Relationship Id="rId91" Type="http://schemas.openxmlformats.org/officeDocument/2006/relationships/hyperlink" Target="https://www.federalregister.gov/documents/2019/07/03/2019-13668/availability-of-funds-and-collection-of-checks-regulation-cc" TargetMode="External"/><Relationship Id="rId96" Type="http://schemas.openxmlformats.org/officeDocument/2006/relationships/hyperlink" Target="https://fas.org/sgp/crs/misc/R45073.pdf" TargetMode="External"/><Relationship Id="rId111" Type="http://schemas.openxmlformats.org/officeDocument/2006/relationships/hyperlink" Target="https://www.fdic.gov/" TargetMode="External"/><Relationship Id="rId132" Type="http://schemas.openxmlformats.org/officeDocument/2006/relationships/hyperlink" Target="http://www.occ.gov/" TargetMode="External"/><Relationship Id="rId140" Type="http://schemas.openxmlformats.org/officeDocument/2006/relationships/hyperlink" Target="https://www.ecfr.gov/cgi-bin/text-idx?c=ecfr&amp;tpl=/ecfrbrowse/Title12/12cfr1016_main_02.tpl" TargetMode="External"/><Relationship Id="rId145" Type="http://schemas.openxmlformats.org/officeDocument/2006/relationships/hyperlink" Target="https://www.consumerfinance.gov/eregulations/1026"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image" Target="media/image5.png"/><Relationship Id="rId28" Type="http://schemas.openxmlformats.org/officeDocument/2006/relationships/hyperlink" Target="http://links.govdelivery.com/track?type=click&amp;enid=ZWFzPTEmbXNpZD0mYXVpZD0mbWFpbGluZ2lkPTIwMTkxMDEwLjExMzY2NDcxJm1lc3NhZ2VpZD1NREItUFJELUJVTC0yMDE5MTAxMC4xMTM2NjQ3MSZkYXRhYmFzZWlkPTEwMDEmc2VyaWFsPTE2ODAxNTI5JmVtYWlsaWQ9a2dvdWxhcnRAaWJhdC5vcmcmdXNlcmlkPWtnb3VsYXJ0QGliYXQub3JnJnRhcmdldGlkPSZmbD0mbXZpZD0mZXh0cmE9JiYm&amp;&amp;&amp;101&amp;&amp;&amp;https://www.consumerfinance.gov/documents/8130/cfpb_hmda_final-rule-2019.pdf" TargetMode="External"/><Relationship Id="rId36" Type="http://schemas.openxmlformats.org/officeDocument/2006/relationships/hyperlink" Target="https://www.fdic.gov/news/news/financial/2019/fil19063.html?source=govdelivery&amp;utm_medium=email&amp;utm_source=govdelivery" TargetMode="External"/><Relationship Id="rId49" Type="http://schemas.openxmlformats.org/officeDocument/2006/relationships/hyperlink" Target="https://www.fdic.gov/news/news/financial/2019/fil19050.html" TargetMode="External"/><Relationship Id="rId57" Type="http://schemas.openxmlformats.org/officeDocument/2006/relationships/hyperlink" Target="https://www.federalreserve.gov/monetarypolicy/files/BeigeBook_20191016.pdf" TargetMode="External"/><Relationship Id="rId106" Type="http://schemas.openxmlformats.org/officeDocument/2006/relationships/hyperlink" Target="http://www.ffiec.gov/cra/" TargetMode="External"/><Relationship Id="rId114" Type="http://schemas.openxmlformats.org/officeDocument/2006/relationships/hyperlink" Target="http://www.ffiec.gov/" TargetMode="External"/><Relationship Id="rId119" Type="http://schemas.openxmlformats.org/officeDocument/2006/relationships/hyperlink" Target="http://www.federalreserve.gov/" TargetMode="External"/><Relationship Id="rId127" Type="http://schemas.openxmlformats.org/officeDocument/2006/relationships/hyperlink" Target="https://www.consumerfinance.gov/ask-cfpb/what-is-a-higher-priced-mortgage-loan-en-1797/" TargetMode="External"/><Relationship Id="rId10" Type="http://schemas.openxmlformats.org/officeDocument/2006/relationships/image" Target="media/image3.png"/><Relationship Id="rId31" Type="http://schemas.openxmlformats.org/officeDocument/2006/relationships/hyperlink" Target="https://www.consumerfinance.gov/policy-compliance/guidance/hmda-implementation/" TargetMode="External"/><Relationship Id="rId44" Type="http://schemas.openxmlformats.org/officeDocument/2006/relationships/hyperlink" Target="https://www.fdic.gov/regulations/laws/sarc/" TargetMode="External"/><Relationship Id="rId52" Type="http://schemas.openxmlformats.org/officeDocument/2006/relationships/hyperlink" Target="https://www.occ.gov/news-issuances/news-releases/2019/2019-111a.pdf" TargetMode="External"/><Relationship Id="rId60" Type="http://schemas.openxmlformats.org/officeDocument/2006/relationships/hyperlink" Target="https://www.ftc.gov/news-events/press-releases/2019/07/ftc-seeks-comments-childrens-online-privacy-protection-act-rule" TargetMode="External"/><Relationship Id="rId65" Type="http://schemas.openxmlformats.org/officeDocument/2006/relationships/hyperlink" Target="https://www.ftc.gov/news-events/press-releases/2019/10/ftc-releases-fy-2019-national-do-not-call-registry-data-book" TargetMode="External"/><Relationship Id="rId73" Type="http://schemas.openxmlformats.org/officeDocument/2006/relationships/hyperlink" Target="https://www.csbs.org/community-banker-concerns-shift-funding" TargetMode="External"/><Relationship Id="rId78" Type="http://schemas.openxmlformats.org/officeDocument/2006/relationships/hyperlink" Target="https://www.federalreserve.gov/data/sfos/files/senior-financial-officer-survey-201908.pdf" TargetMode="External"/><Relationship Id="rId81" Type="http://schemas.openxmlformats.org/officeDocument/2006/relationships/hyperlink" Target="https://www.federalreserve.gov/releases/g19/current/default.htm" TargetMode="External"/><Relationship Id="rId86" Type="http://schemas.openxmlformats.org/officeDocument/2006/relationships/hyperlink" Target="https://www.federalregister.gov/documents/2019/07/25/2019-15754/request-for-public-comment-on-the-federal-trade-commissions-implementation-of-the-childrens-online" TargetMode="External"/><Relationship Id="rId94" Type="http://schemas.openxmlformats.org/officeDocument/2006/relationships/hyperlink" Target="https://www.fdic.gov/news/board/2019/2019-08-20-notice-sum-b-fr.pdf" TargetMode="External"/><Relationship Id="rId99" Type="http://schemas.openxmlformats.org/officeDocument/2006/relationships/hyperlink" Target="https://www.fdic.gov/news/board/2019/2019-08-20-notice-dis-a-fr.pdf" TargetMode="External"/><Relationship Id="rId101" Type="http://schemas.openxmlformats.org/officeDocument/2006/relationships/footer" Target="footer1.xml"/><Relationship Id="rId122" Type="http://schemas.openxmlformats.org/officeDocument/2006/relationships/hyperlink" Target="http://www.gao.gov" TargetMode="External"/><Relationship Id="rId130" Type="http://schemas.openxmlformats.org/officeDocument/2006/relationships/hyperlink" Target="http://www.fema.gov/national-flood-insurance-program" TargetMode="External"/><Relationship Id="rId135" Type="http://schemas.openxmlformats.org/officeDocument/2006/relationships/hyperlink" Target="https://www.consumerfinance.gov/eregulations/1002" TargetMode="External"/><Relationship Id="rId143" Type="http://schemas.openxmlformats.org/officeDocument/2006/relationships/hyperlink" Target="https://www.consumerfinance.gov/eregulations/1024" TargetMode="External"/><Relationship Id="rId148"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wmf"/><Relationship Id="rId13" Type="http://schemas.openxmlformats.org/officeDocument/2006/relationships/hyperlink" Target="https://www.fdic.gov/news/news/press/2019/pr19092a.pdf" TargetMode="External"/><Relationship Id="rId18" Type="http://schemas.openxmlformats.org/officeDocument/2006/relationships/hyperlink" Target="https://www.fdic.gov/news/news/financial/2019/fil19060.html?source=govdelivery&amp;utm_medium=email&amp;utm_source=govdelivery" TargetMode="External"/><Relationship Id="rId39" Type="http://schemas.openxmlformats.org/officeDocument/2006/relationships/hyperlink" Target="https://www.fdic.gov/news/news/press/2019/pr19090.html" TargetMode="External"/><Relationship Id="rId109" Type="http://schemas.openxmlformats.org/officeDocument/2006/relationships/hyperlink" Target="http://www.law.cornell.edu/topn/dodd-frank_wall_street_reform_and_consumer_protection_act" TargetMode="External"/><Relationship Id="rId34" Type="http://schemas.openxmlformats.org/officeDocument/2006/relationships/hyperlink" Target="https://www.consumerfinance.gov/policy-compliance/guidance/secure-fair-enforcement-for-mortgage-licensing-act/secure-and-fair-enforcement-mortgage-licensing-act-faqs/" TargetMode="External"/><Relationship Id="rId50" Type="http://schemas.openxmlformats.org/officeDocument/2006/relationships/hyperlink" Target="https://www.fdic.gov/news/news/financial/2019/fil19050.html" TargetMode="External"/><Relationship Id="rId55" Type="http://schemas.openxmlformats.org/officeDocument/2006/relationships/hyperlink" Target="https://www.occ.gov/news-issuances/news-releases/2019/nr-occ-2019-110.html" TargetMode="External"/><Relationship Id="rId76" Type="http://schemas.openxmlformats.org/officeDocument/2006/relationships/hyperlink" Target="https://www.federalreserve.gov/newsevents/speech/clarida20191018a.htm" TargetMode="External"/><Relationship Id="rId97" Type="http://schemas.openxmlformats.org/officeDocument/2006/relationships/hyperlink" Target="https://www.federalregister.gov/documents/2019/09/27/2019-20353/defining-and-delimiting-the-exemptions-for-executive-administrative-professional-outside-sales-and" TargetMode="External"/><Relationship Id="rId104" Type="http://schemas.openxmlformats.org/officeDocument/2006/relationships/hyperlink" Target="https://www.ftc.gov/sites/default/files/documents/statutes/credit-card-accountability-responsibility-and-disclosure-act-2009-credit-card-act/credit-card-pub-l-111-24_0.pdf" TargetMode="External"/><Relationship Id="rId120" Type="http://schemas.openxmlformats.org/officeDocument/2006/relationships/hyperlink" Target="http://www.treasury.gov/initiatives/fsoc/Pages/home.aspx" TargetMode="External"/><Relationship Id="rId125" Type="http://schemas.openxmlformats.org/officeDocument/2006/relationships/hyperlink" Target="https://www.ffiec.gov/hmda/" TargetMode="External"/><Relationship Id="rId141" Type="http://schemas.openxmlformats.org/officeDocument/2006/relationships/hyperlink" Target="https://www.consumerfinance.gov/eregulations/1024" TargetMode="External"/><Relationship Id="rId146" Type="http://schemas.openxmlformats.org/officeDocument/2006/relationships/hyperlink" Target="http://www.treasury.gov" TargetMode="External"/><Relationship Id="rId7" Type="http://schemas.openxmlformats.org/officeDocument/2006/relationships/endnotes" Target="endnotes.xml"/><Relationship Id="rId71" Type="http://schemas.openxmlformats.org/officeDocument/2006/relationships/hyperlink" Target="https://www.csbs.org/state-mortgage-regulators-call-simplified-data-transfer-process-loan-origination-software-users" TargetMode="External"/><Relationship Id="rId92" Type="http://schemas.openxmlformats.org/officeDocument/2006/relationships/hyperlink" Target="https://www.federalregister.gov/documents/2019/07/22/2019-15131/regulatory-capital-rule-simplifications-to-the-capital-rule-pursuant-to-the-economic-growth-and" TargetMode="External"/><Relationship Id="rId2" Type="http://schemas.openxmlformats.org/officeDocument/2006/relationships/numbering" Target="numbering.xml"/><Relationship Id="rId29" Type="http://schemas.openxmlformats.org/officeDocument/2006/relationships/hyperlink" Target="http://links.govdelivery.com/track?type=click&amp;enid=ZWFzPTEmbXNpZD0mYXVpZD0mbWFpbGluZ2lkPTIwMTkxMDEwLjExMzY2NDcxJm1lc3NhZ2VpZD1NREItUFJELUJVTC0yMDE5MTAxMC4xMTM2NjQ3MSZkYXRhYmFzZWlkPTEwMDEmc2VyaWFsPTE2ODAxNTI5JmVtYWlsaWQ9a2dvdWxhcnRAaWJhdC5vcmcmdXNlcmlkPWtnb3VsYXJ0QGliYXQub3JnJnRhcmdldGlkPSZmbD0mbXZpZD0mZXh0cmE9JiYm&amp;&amp;&amp;102&amp;&amp;&amp;https://www.consumerfinance.gov/documents/8126/cfpb_executive-summary-2019-reg-C-final-rule.pdf" TargetMode="External"/><Relationship Id="rId24" Type="http://schemas.openxmlformats.org/officeDocument/2006/relationships/hyperlink" Target="https://www.fdic.gov/news/news/press/2019/pr19085.html" TargetMode="External"/><Relationship Id="rId40" Type="http://schemas.openxmlformats.org/officeDocument/2006/relationships/hyperlink" Target="http://www.fdic.gov/communitybanking/" TargetMode="External"/><Relationship Id="rId45" Type="http://schemas.openxmlformats.org/officeDocument/2006/relationships/hyperlink" Target="https://www.fdic.gov/news/news/financial/2019/fil19052.html" TargetMode="External"/><Relationship Id="rId66" Type="http://schemas.openxmlformats.org/officeDocument/2006/relationships/hyperlink" Target="https://www.icba.org/docs/default-source/icba/advocacy-documents/summaries/safesummary19-10-0930ff3eb051c36d55bb68ff00003634f2.pdf?sfvrsn=843c5317_0" TargetMode="External"/><Relationship Id="rId87" Type="http://schemas.openxmlformats.org/officeDocument/2006/relationships/hyperlink" Target="https://www.govinfo.gov/content/pkg/FR-2019-10-17/pdf/2019-22655.pdf" TargetMode="External"/><Relationship Id="rId110" Type="http://schemas.openxmlformats.org/officeDocument/2006/relationships/hyperlink" Target="http://www.justice.gov/" TargetMode="External"/><Relationship Id="rId115" Type="http://schemas.openxmlformats.org/officeDocument/2006/relationships/hyperlink" Target="http://www.fhfa.gov/" TargetMode="External"/><Relationship Id="rId131" Type="http://schemas.openxmlformats.org/officeDocument/2006/relationships/hyperlink" Target="http://mortgage.nationwidelicensingsystem.org/Pages/default.aspx" TargetMode="External"/><Relationship Id="rId136" Type="http://schemas.openxmlformats.org/officeDocument/2006/relationships/hyperlink" Target="https://www.consumerfinance.gov/eregulations/1003" TargetMode="External"/><Relationship Id="rId61" Type="http://schemas.openxmlformats.org/officeDocument/2006/relationships/hyperlink" Target="https://www.ftc.gov/enforcement/rules/rulemaking-regulatory-reform-proceedings/childrens-online-privacy-protection-rule" TargetMode="External"/><Relationship Id="rId82" Type="http://schemas.openxmlformats.org/officeDocument/2006/relationships/hyperlink" Target="https://www.federalreserve.gov/newsevents/speech/powell20191004a.htm" TargetMode="External"/><Relationship Id="rId19" Type="http://schemas.openxmlformats.org/officeDocument/2006/relationships/hyperlink" Target="https://www.govinfo.gov/content/pkg/FR-2019-10-17/pdf/2019-22655.pdf" TargetMode="External"/><Relationship Id="rId14" Type="http://schemas.openxmlformats.org/officeDocument/2006/relationships/hyperlink" Target="https://www.fdic.gov/news/news/press/2019/pr19092.html" TargetMode="External"/><Relationship Id="rId30" Type="http://schemas.openxmlformats.org/officeDocument/2006/relationships/hyperlink" Target="http://links.govdelivery.com/track?type=click&amp;enid=ZWFzPTEmbXNpZD0mYXVpZD0mbWFpbGluZ2lkPTIwMTkxMDEwLjExMzY2NDcxJm1lc3NhZ2VpZD1NREItUFJELUJVTC0yMDE5MTAxMC4xMTM2NjQ3MSZkYXRhYmFzZWlkPTEwMDEmc2VyaWFsPTE2ODAxNTI5JmVtYWlsaWQ9a2dvdWxhcnRAaWJhdC5vcmcmdXNlcmlkPWtnb3VsYXJ0QGliYXQub3JnJnRhcmdldGlkPSZmbD0mbXZpZD0mZXh0cmE9JiYm&amp;&amp;&amp;103&amp;&amp;&amp;https://www.consumerfinance.gov/documents/8127/cfpb_hmda_unofficial-redline-2019-final-rule.pdf" TargetMode="External"/><Relationship Id="rId35" Type="http://schemas.openxmlformats.org/officeDocument/2006/relationships/hyperlink" Target="https://www.consumerfinance.gov/about-us/newsroom/cfpb-and-ftc-host-december-workshop-accuracy-consumer-reporting/" TargetMode="External"/><Relationship Id="rId56" Type="http://schemas.openxmlformats.org/officeDocument/2006/relationships/image" Target="media/image6.png"/><Relationship Id="rId77" Type="http://schemas.openxmlformats.org/officeDocument/2006/relationships/hyperlink" Target="https://www.federalreserve.gov/releases/g17/current/default.htm" TargetMode="External"/><Relationship Id="rId100" Type="http://schemas.openxmlformats.org/officeDocument/2006/relationships/hyperlink" Target="https://www.fdic.gov/news/board/2019/2019-09-17-notice-dis-a-fr.pdf" TargetMode="External"/><Relationship Id="rId105" Type="http://schemas.openxmlformats.org/officeDocument/2006/relationships/hyperlink" Target="http://www.gpo.gov/fdsys/browse/collectionCfr.action?collectionCode=CFR" TargetMode="External"/><Relationship Id="rId126" Type="http://schemas.openxmlformats.org/officeDocument/2006/relationships/hyperlink" Target="http://files.consumerfinance.gov/f/201305_compliance-guide_home-ownership-and-equity-protection-act-rule.pdf" TargetMode="External"/><Relationship Id="rId147" Type="http://schemas.openxmlformats.org/officeDocument/2006/relationships/footer" Target="footer3.xml"/><Relationship Id="rId8" Type="http://schemas.openxmlformats.org/officeDocument/2006/relationships/image" Target="media/image1.png"/><Relationship Id="rId51" Type="http://schemas.openxmlformats.org/officeDocument/2006/relationships/hyperlink" Target="https://www.occ.gov/news-issuances/news-releases/2019/nr-occ-2019-119.html" TargetMode="External"/><Relationship Id="rId72" Type="http://schemas.openxmlformats.org/officeDocument/2006/relationships/hyperlink" Target="https://www.communitybanking.org/~/media/files/publication/cb21publication_2019.pdf" TargetMode="External"/><Relationship Id="rId93" Type="http://schemas.openxmlformats.org/officeDocument/2006/relationships/hyperlink" Target="https://www.federalregister.gov/documents/2019/07/30/2019-15535/recordkeeping-for-timely-deposit-insurance-determination" TargetMode="External"/><Relationship Id="rId98" Type="http://schemas.openxmlformats.org/officeDocument/2006/relationships/hyperlink" Target="https://files.consumerfinance.gov/f/documents/cfpb_hmda_final-rule-2019.pdf" TargetMode="External"/><Relationship Id="rId121" Type="http://schemas.openxmlformats.org/officeDocument/2006/relationships/hyperlink" Target="http://www.ftc.gov" TargetMode="External"/><Relationship Id="rId142" Type="http://schemas.openxmlformats.org/officeDocument/2006/relationships/hyperlink" Target="https://www.consumerfinance.gov/eregulations/10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EAB9E2-29BF-4EE9-9C01-9AA8B681B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27</Pages>
  <Words>14886</Words>
  <Characters>84854</Characters>
  <Application>Microsoft Office Word</Application>
  <DocSecurity>0</DocSecurity>
  <Lines>707</Lines>
  <Paragraphs>199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bkankel</dc:creator>
  <cp:lastModifiedBy>Carolyn Snyder</cp:lastModifiedBy>
  <cp:revision>5</cp:revision>
  <cp:lastPrinted>2019-10-24T14:00:00Z</cp:lastPrinted>
  <dcterms:created xsi:type="dcterms:W3CDTF">2019-10-24T14:05:00Z</dcterms:created>
  <dcterms:modified xsi:type="dcterms:W3CDTF">2019-10-24T15:27:00Z</dcterms:modified>
</cp:coreProperties>
</file>