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AF5A7" w14:textId="77777777" w:rsidR="004C4F00" w:rsidRPr="0006263F" w:rsidRDefault="004C4F00" w:rsidP="009C7D32">
      <w:pPr>
        <w:tabs>
          <w:tab w:val="left" w:pos="540"/>
        </w:tabs>
        <w:rPr>
          <w:rStyle w:val="ICBAbold"/>
        </w:rPr>
      </w:pPr>
    </w:p>
    <w:p w14:paraId="0CFEC57D" w14:textId="3F0C30C6" w:rsidR="007A2F87" w:rsidRPr="0006263F" w:rsidRDefault="003B5FA8" w:rsidP="0006263F">
      <w:pPr>
        <w:tabs>
          <w:tab w:val="left" w:pos="540"/>
        </w:tabs>
        <w:jc w:val="center"/>
        <w:rPr>
          <w:rStyle w:val="ICBAbold"/>
          <w:sz w:val="44"/>
          <w:szCs w:val="44"/>
        </w:rPr>
      </w:pPr>
      <w:r>
        <w:rPr>
          <w:rStyle w:val="ICBAbold"/>
          <w:bCs/>
          <w:sz w:val="44"/>
          <w:szCs w:val="44"/>
        </w:rPr>
        <w:t xml:space="preserve">Munis for the </w:t>
      </w:r>
      <w:r w:rsidR="00F16856">
        <w:rPr>
          <w:rStyle w:val="ICBAbold"/>
          <w:bCs/>
          <w:sz w:val="44"/>
          <w:szCs w:val="44"/>
        </w:rPr>
        <w:t>many</w:t>
      </w:r>
    </w:p>
    <w:p w14:paraId="658FE2D6" w14:textId="7A2958CC" w:rsidR="004C4F00" w:rsidRPr="009E10C0" w:rsidRDefault="003B5FA8" w:rsidP="00F7400C">
      <w:pPr>
        <w:tabs>
          <w:tab w:val="left" w:pos="540"/>
        </w:tabs>
        <w:jc w:val="center"/>
        <w:rPr>
          <w:rStyle w:val="ICBAbold"/>
          <w:sz w:val="28"/>
          <w:szCs w:val="28"/>
        </w:rPr>
      </w:pPr>
      <w:r>
        <w:rPr>
          <w:rStyle w:val="ICBAbold"/>
          <w:sz w:val="28"/>
          <w:szCs w:val="28"/>
        </w:rPr>
        <w:t xml:space="preserve">Taxable municipal bonds have appeal for </w:t>
      </w:r>
      <w:r w:rsidR="00EE1EC7">
        <w:rPr>
          <w:rStyle w:val="ICBAbold"/>
          <w:sz w:val="28"/>
          <w:szCs w:val="28"/>
        </w:rPr>
        <w:t xml:space="preserve">nearly </w:t>
      </w:r>
      <w:r>
        <w:rPr>
          <w:rStyle w:val="ICBAbold"/>
          <w:sz w:val="28"/>
          <w:szCs w:val="28"/>
        </w:rPr>
        <w:t>all community banks</w:t>
      </w:r>
      <w:r w:rsidR="00EE1EC7">
        <w:rPr>
          <w:rStyle w:val="ICBAbold"/>
          <w:sz w:val="28"/>
          <w:szCs w:val="28"/>
        </w:rPr>
        <w:t>.</w:t>
      </w:r>
    </w:p>
    <w:p w14:paraId="3B6B13D4" w14:textId="2371AF8B" w:rsidR="002D72FA" w:rsidRPr="009E10C0" w:rsidRDefault="00773453" w:rsidP="0006263F">
      <w:pPr>
        <w:tabs>
          <w:tab w:val="left" w:pos="540"/>
        </w:tabs>
        <w:jc w:val="center"/>
        <w:rPr>
          <w:rStyle w:val="ICBAbold"/>
          <w:sz w:val="22"/>
          <w:szCs w:val="22"/>
        </w:rPr>
      </w:pPr>
      <w:r w:rsidRPr="009E10C0">
        <w:rPr>
          <w:rStyle w:val="ICBAbold"/>
          <w:sz w:val="22"/>
          <w:szCs w:val="22"/>
        </w:rPr>
        <w:t>By Jim Reber</w:t>
      </w:r>
    </w:p>
    <w:p w14:paraId="3D76A72A" w14:textId="4C0E5996" w:rsidR="002D72FA" w:rsidRPr="0006263F" w:rsidRDefault="002D72FA" w:rsidP="009C7D32">
      <w:pPr>
        <w:tabs>
          <w:tab w:val="left" w:pos="540"/>
        </w:tabs>
        <w:rPr>
          <w:rStyle w:val="ICBAbold"/>
          <w:b w:val="0"/>
        </w:rPr>
      </w:pPr>
    </w:p>
    <w:p w14:paraId="77E31A5B" w14:textId="6BE3228B" w:rsidR="003759BA" w:rsidRDefault="00773327" w:rsidP="009E10C0">
      <w:pPr>
        <w:tabs>
          <w:tab w:val="left" w:pos="540"/>
        </w:tabs>
        <w:jc w:val="both"/>
        <w:rPr>
          <w:rStyle w:val="ICBAbold"/>
          <w:b w:val="0"/>
        </w:rPr>
      </w:pPr>
      <w:r>
        <w:rPr>
          <w:rStyle w:val="ICBAbold"/>
          <w:b w:val="0"/>
        </w:rPr>
        <w:t>I have some g</w:t>
      </w:r>
      <w:r w:rsidR="004937EF">
        <w:rPr>
          <w:rStyle w:val="ICBAbold"/>
          <w:b w:val="0"/>
        </w:rPr>
        <w:t>ood news for community bank portfolio managers who have grown weary of some or all of the following conditions that have persisted since 2020:</w:t>
      </w:r>
    </w:p>
    <w:p w14:paraId="7D8A1C58" w14:textId="7EC21344" w:rsidR="004937EF" w:rsidRPr="00EE1EC7" w:rsidRDefault="00EE1EC7" w:rsidP="009415A0">
      <w:pPr>
        <w:pStyle w:val="ListParagraph"/>
        <w:numPr>
          <w:ilvl w:val="0"/>
          <w:numId w:val="34"/>
        </w:numPr>
        <w:tabs>
          <w:tab w:val="left" w:pos="540"/>
        </w:tabs>
        <w:jc w:val="both"/>
        <w:rPr>
          <w:rStyle w:val="ICBAbold"/>
          <w:b w:val="0"/>
        </w:rPr>
      </w:pPr>
      <w:r>
        <w:rPr>
          <w:rStyle w:val="ICBAbold"/>
          <w:b w:val="0"/>
        </w:rPr>
        <w:t>d</w:t>
      </w:r>
      <w:r w:rsidR="004937EF" w:rsidRPr="00EE1EC7">
        <w:rPr>
          <w:rStyle w:val="ICBAbold"/>
          <w:b w:val="0"/>
        </w:rPr>
        <w:t xml:space="preserve">eclining portfolio </w:t>
      </w:r>
      <w:r w:rsidR="00F16856" w:rsidRPr="00EE1EC7">
        <w:rPr>
          <w:rStyle w:val="ICBAbold"/>
          <w:b w:val="0"/>
        </w:rPr>
        <w:t>returns</w:t>
      </w:r>
    </w:p>
    <w:p w14:paraId="7605A136" w14:textId="5F2F7082" w:rsidR="004937EF" w:rsidRPr="00EE1EC7" w:rsidRDefault="00EE1EC7" w:rsidP="009415A0">
      <w:pPr>
        <w:pStyle w:val="ListParagraph"/>
        <w:numPr>
          <w:ilvl w:val="0"/>
          <w:numId w:val="34"/>
        </w:numPr>
        <w:tabs>
          <w:tab w:val="left" w:pos="540"/>
        </w:tabs>
        <w:jc w:val="both"/>
        <w:rPr>
          <w:rStyle w:val="ICBAbold"/>
          <w:b w:val="0"/>
        </w:rPr>
      </w:pPr>
      <w:r>
        <w:rPr>
          <w:rStyle w:val="ICBAbold"/>
          <w:b w:val="0"/>
        </w:rPr>
        <w:t>e</w:t>
      </w:r>
      <w:r w:rsidR="004937EF" w:rsidRPr="00EE1EC7">
        <w:rPr>
          <w:rStyle w:val="ICBAbold"/>
          <w:b w:val="0"/>
        </w:rPr>
        <w:t>rratic cash flows</w:t>
      </w:r>
    </w:p>
    <w:p w14:paraId="4BCAA7C9" w14:textId="189F7DB5" w:rsidR="004937EF" w:rsidRPr="00EE1EC7" w:rsidRDefault="00EE1EC7" w:rsidP="009415A0">
      <w:pPr>
        <w:pStyle w:val="ListParagraph"/>
        <w:numPr>
          <w:ilvl w:val="0"/>
          <w:numId w:val="34"/>
        </w:numPr>
        <w:tabs>
          <w:tab w:val="left" w:pos="540"/>
        </w:tabs>
        <w:jc w:val="both"/>
        <w:rPr>
          <w:rStyle w:val="ICBAbold"/>
          <w:b w:val="0"/>
        </w:rPr>
      </w:pPr>
      <w:r>
        <w:rPr>
          <w:rStyle w:val="ICBAbold"/>
          <w:b w:val="0"/>
        </w:rPr>
        <w:t>c</w:t>
      </w:r>
      <w:r w:rsidR="004937EF" w:rsidRPr="00EE1EC7">
        <w:rPr>
          <w:rStyle w:val="ICBAbold"/>
          <w:b w:val="0"/>
        </w:rPr>
        <w:t>all option exposure</w:t>
      </w:r>
    </w:p>
    <w:p w14:paraId="00E91190" w14:textId="3A58A9FC" w:rsidR="004937EF" w:rsidRPr="00EE1EC7" w:rsidRDefault="00EE1EC7" w:rsidP="009415A0">
      <w:pPr>
        <w:pStyle w:val="ListParagraph"/>
        <w:numPr>
          <w:ilvl w:val="0"/>
          <w:numId w:val="34"/>
        </w:numPr>
        <w:tabs>
          <w:tab w:val="left" w:pos="540"/>
        </w:tabs>
        <w:jc w:val="both"/>
        <w:rPr>
          <w:rStyle w:val="ICBAbold"/>
          <w:b w:val="0"/>
        </w:rPr>
      </w:pPr>
      <w:r>
        <w:rPr>
          <w:rStyle w:val="ICBAbold"/>
          <w:b w:val="0"/>
        </w:rPr>
        <w:t>p</w:t>
      </w:r>
      <w:r w:rsidR="004937EF" w:rsidRPr="00EE1EC7">
        <w:rPr>
          <w:rStyle w:val="ICBAbold"/>
          <w:b w:val="0"/>
        </w:rPr>
        <w:t xml:space="preserve">altry </w:t>
      </w:r>
      <w:r w:rsidR="00F16856" w:rsidRPr="00EE1EC7">
        <w:rPr>
          <w:rStyle w:val="ICBAbold"/>
          <w:b w:val="0"/>
        </w:rPr>
        <w:t>yield</w:t>
      </w:r>
      <w:r w:rsidR="004937EF" w:rsidRPr="00EE1EC7">
        <w:rPr>
          <w:rStyle w:val="ICBAbold"/>
          <w:b w:val="0"/>
        </w:rPr>
        <w:t xml:space="preserve"> spreads</w:t>
      </w:r>
    </w:p>
    <w:p w14:paraId="2C1082DE" w14:textId="77777777" w:rsidR="004148C7" w:rsidRDefault="004148C7" w:rsidP="00AA58F5">
      <w:pPr>
        <w:rPr>
          <w:rStyle w:val="ICBAbold"/>
          <w:b w:val="0"/>
        </w:rPr>
      </w:pPr>
    </w:p>
    <w:p w14:paraId="7F005EEA" w14:textId="11119C97" w:rsidR="002E2328" w:rsidRPr="0006263F" w:rsidRDefault="004937EF" w:rsidP="009E10C0">
      <w:pPr>
        <w:tabs>
          <w:tab w:val="left" w:pos="540"/>
        </w:tabs>
        <w:jc w:val="both"/>
        <w:rPr>
          <w:rStyle w:val="ICBAbold"/>
          <w:b w:val="0"/>
        </w:rPr>
      </w:pPr>
      <w:r>
        <w:rPr>
          <w:rStyle w:val="ICBAbold"/>
          <w:b w:val="0"/>
        </w:rPr>
        <w:t xml:space="preserve">Chances </w:t>
      </w:r>
      <w:proofErr w:type="gramStart"/>
      <w:r>
        <w:rPr>
          <w:rStyle w:val="ICBAbold"/>
          <w:b w:val="0"/>
        </w:rPr>
        <w:t>are</w:t>
      </w:r>
      <w:r w:rsidR="003759BA">
        <w:rPr>
          <w:rStyle w:val="ICBAbold"/>
          <w:b w:val="0"/>
        </w:rPr>
        <w:t>,</w:t>
      </w:r>
      <w:proofErr w:type="gramEnd"/>
      <w:r>
        <w:rPr>
          <w:rStyle w:val="ICBAbold"/>
          <w:b w:val="0"/>
        </w:rPr>
        <w:t xml:space="preserve"> your bank’s portfolio has been </w:t>
      </w:r>
      <w:r w:rsidR="003759BA">
        <w:rPr>
          <w:rStyle w:val="ICBAbold"/>
          <w:b w:val="0"/>
        </w:rPr>
        <w:t xml:space="preserve">affected </w:t>
      </w:r>
      <w:r>
        <w:rPr>
          <w:rStyle w:val="ICBAbold"/>
          <w:b w:val="0"/>
        </w:rPr>
        <w:t xml:space="preserve">by </w:t>
      </w:r>
      <w:r w:rsidR="00F16856">
        <w:rPr>
          <w:rStyle w:val="ICBAbold"/>
          <w:b w:val="0"/>
        </w:rPr>
        <w:t xml:space="preserve">at least some of </w:t>
      </w:r>
      <w:r>
        <w:rPr>
          <w:rStyle w:val="ICBAbold"/>
          <w:b w:val="0"/>
        </w:rPr>
        <w:t>these conditions over the past year. The wild ride in interest rates kept producing surprises for the bond portfolio, and</w:t>
      </w:r>
      <w:r w:rsidR="003759BA">
        <w:rPr>
          <w:rStyle w:val="ICBAbold"/>
          <w:b w:val="0"/>
        </w:rPr>
        <w:t>,</w:t>
      </w:r>
      <w:r>
        <w:rPr>
          <w:rStyle w:val="ICBAbold"/>
          <w:b w:val="0"/>
        </w:rPr>
        <w:t xml:space="preserve"> in truth</w:t>
      </w:r>
      <w:r w:rsidR="003759BA">
        <w:rPr>
          <w:rStyle w:val="ICBAbold"/>
          <w:b w:val="0"/>
        </w:rPr>
        <w:t>,</w:t>
      </w:r>
      <w:r>
        <w:rPr>
          <w:rStyle w:val="ICBAbold"/>
          <w:b w:val="0"/>
        </w:rPr>
        <w:t xml:space="preserve"> about the only thing positive to be said is that prices rose</w:t>
      </w:r>
      <w:r w:rsidR="003759BA">
        <w:rPr>
          <w:rStyle w:val="ICBAbold"/>
          <w:b w:val="0"/>
        </w:rPr>
        <w:t>—</w:t>
      </w:r>
      <w:r w:rsidR="00F16856">
        <w:rPr>
          <w:rStyle w:val="ICBAbold"/>
          <w:b w:val="0"/>
        </w:rPr>
        <w:t>then declined</w:t>
      </w:r>
      <w:r w:rsidR="003759BA">
        <w:rPr>
          <w:rStyle w:val="ICBAbold"/>
          <w:b w:val="0"/>
        </w:rPr>
        <w:t>—</w:t>
      </w:r>
      <w:r>
        <w:rPr>
          <w:rStyle w:val="ICBAbold"/>
          <w:b w:val="0"/>
        </w:rPr>
        <w:t xml:space="preserve">over that period. </w:t>
      </w:r>
      <w:r w:rsidR="00F16856">
        <w:rPr>
          <w:rStyle w:val="ICBAbold"/>
          <w:b w:val="0"/>
        </w:rPr>
        <w:t>So, banks</w:t>
      </w:r>
      <w:r w:rsidR="003759BA">
        <w:rPr>
          <w:rStyle w:val="ICBAbold"/>
          <w:b w:val="0"/>
        </w:rPr>
        <w:t>’</w:t>
      </w:r>
      <w:r w:rsidR="00F16856">
        <w:rPr>
          <w:rStyle w:val="ICBAbold"/>
          <w:b w:val="0"/>
        </w:rPr>
        <w:t xml:space="preserve"> positions have lost value in 2021, but current investment yields have improved</w:t>
      </w:r>
      <w:r w:rsidR="003759BA">
        <w:rPr>
          <w:rStyle w:val="ICBAbold"/>
          <w:b w:val="0"/>
        </w:rPr>
        <w:t>, w</w:t>
      </w:r>
      <w:r>
        <w:rPr>
          <w:rStyle w:val="ICBAbold"/>
          <w:b w:val="0"/>
        </w:rPr>
        <w:t xml:space="preserve">hich </w:t>
      </w:r>
      <w:r w:rsidR="00F16856">
        <w:rPr>
          <w:rStyle w:val="ICBAbold"/>
          <w:b w:val="0"/>
        </w:rPr>
        <w:t xml:space="preserve">illustrates the </w:t>
      </w:r>
      <w:r>
        <w:rPr>
          <w:rStyle w:val="ICBAbold"/>
          <w:b w:val="0"/>
        </w:rPr>
        <w:t xml:space="preserve">mixed blessing. </w:t>
      </w:r>
    </w:p>
    <w:p w14:paraId="6EF5AFD8" w14:textId="77777777" w:rsidR="00937CEA" w:rsidRPr="0006263F" w:rsidRDefault="00937CEA" w:rsidP="009E10C0">
      <w:pPr>
        <w:pStyle w:val="ListParagraph"/>
        <w:tabs>
          <w:tab w:val="left" w:pos="540"/>
        </w:tabs>
        <w:ind w:left="1263"/>
        <w:jc w:val="both"/>
        <w:rPr>
          <w:rStyle w:val="ICBAbold"/>
          <w:b w:val="0"/>
        </w:rPr>
      </w:pPr>
    </w:p>
    <w:p w14:paraId="0651A916" w14:textId="6C3FCB5A" w:rsidR="00F864EA" w:rsidRDefault="00F16856" w:rsidP="009E10C0">
      <w:pPr>
        <w:tabs>
          <w:tab w:val="left" w:pos="540"/>
        </w:tabs>
        <w:jc w:val="both"/>
        <w:rPr>
          <w:rStyle w:val="ICBAbold"/>
          <w:b w:val="0"/>
        </w:rPr>
      </w:pPr>
      <w:r>
        <w:rPr>
          <w:rStyle w:val="ICBAbold"/>
          <w:b w:val="0"/>
        </w:rPr>
        <w:t xml:space="preserve">Over </w:t>
      </w:r>
      <w:r w:rsidR="00FB5187">
        <w:rPr>
          <w:rStyle w:val="ICBAbold"/>
          <w:b w:val="0"/>
        </w:rPr>
        <w:t xml:space="preserve">time, one of the enduring determinants of investment performance is sector weighting. More specifically, the </w:t>
      </w:r>
      <w:r w:rsidR="00F449E1">
        <w:rPr>
          <w:rStyle w:val="ICBAbold"/>
          <w:b w:val="0"/>
        </w:rPr>
        <w:t>more</w:t>
      </w:r>
      <w:r w:rsidR="00FB5187">
        <w:rPr>
          <w:rStyle w:val="ICBAbold"/>
          <w:b w:val="0"/>
        </w:rPr>
        <w:t xml:space="preserve"> a bond portfolio </w:t>
      </w:r>
      <w:r w:rsidR="00F449E1">
        <w:rPr>
          <w:rStyle w:val="ICBAbold"/>
          <w:b w:val="0"/>
        </w:rPr>
        <w:t>consists of</w:t>
      </w:r>
      <w:r w:rsidR="00FB5187">
        <w:rPr>
          <w:rStyle w:val="ICBAbold"/>
          <w:b w:val="0"/>
        </w:rPr>
        <w:t xml:space="preserve"> municipal bonds, the more likely it will </w:t>
      </w:r>
      <w:r w:rsidR="00973D84">
        <w:rPr>
          <w:rStyle w:val="ICBAbold"/>
          <w:b w:val="0"/>
        </w:rPr>
        <w:t>have</w:t>
      </w:r>
      <w:r w:rsidR="00F449E1">
        <w:rPr>
          <w:rStyle w:val="ICBAbold"/>
          <w:b w:val="0"/>
        </w:rPr>
        <w:t xml:space="preserve"> above-peer yields</w:t>
      </w:r>
      <w:r w:rsidR="00FB5187">
        <w:rPr>
          <w:rStyle w:val="ICBAbold"/>
          <w:b w:val="0"/>
        </w:rPr>
        <w:t xml:space="preserve">. </w:t>
      </w:r>
      <w:r w:rsidR="00973D84">
        <w:rPr>
          <w:rStyle w:val="ICBAbold"/>
          <w:b w:val="0"/>
        </w:rPr>
        <w:t xml:space="preserve">According to Vining Sparks, </w:t>
      </w:r>
      <w:r w:rsidR="00FB5187">
        <w:rPr>
          <w:rStyle w:val="ICBAbold"/>
          <w:b w:val="0"/>
        </w:rPr>
        <w:t xml:space="preserve">as of Dec. </w:t>
      </w:r>
      <w:r w:rsidR="00973D84">
        <w:rPr>
          <w:rStyle w:val="ICBAbold"/>
          <w:b w:val="0"/>
        </w:rPr>
        <w:t>31,</w:t>
      </w:r>
      <w:r w:rsidR="00FB5187">
        <w:rPr>
          <w:rStyle w:val="ICBAbold"/>
          <w:b w:val="0"/>
        </w:rPr>
        <w:t xml:space="preserve"> 2020, </w:t>
      </w:r>
      <w:r w:rsidR="00EE1EC7">
        <w:rPr>
          <w:rStyle w:val="ICBAbold"/>
          <w:b w:val="0"/>
        </w:rPr>
        <w:t>municipal bonds</w:t>
      </w:r>
      <w:r w:rsidR="00EE1EC7" w:rsidDel="00EE1EC7">
        <w:rPr>
          <w:rStyle w:val="ICBAbold"/>
          <w:b w:val="0"/>
        </w:rPr>
        <w:t xml:space="preserve"> </w:t>
      </w:r>
      <w:r w:rsidR="00EE1EC7">
        <w:rPr>
          <w:rStyle w:val="ICBAbold"/>
          <w:b w:val="0"/>
        </w:rPr>
        <w:t xml:space="preserve">made up 53% of </w:t>
      </w:r>
      <w:r w:rsidR="00F449E1">
        <w:rPr>
          <w:rStyle w:val="ICBAbold"/>
          <w:b w:val="0"/>
        </w:rPr>
        <w:t>top</w:t>
      </w:r>
      <w:r w:rsidR="00EE1EC7">
        <w:rPr>
          <w:rStyle w:val="ICBAbold"/>
          <w:b w:val="0"/>
        </w:rPr>
        <w:t>-</w:t>
      </w:r>
      <w:r w:rsidR="00F449E1">
        <w:rPr>
          <w:rStyle w:val="ICBAbold"/>
          <w:b w:val="0"/>
        </w:rPr>
        <w:t xml:space="preserve">quartile community bank portfolios. At the </w:t>
      </w:r>
      <w:proofErr w:type="gramStart"/>
      <w:r w:rsidR="00F449E1">
        <w:rPr>
          <w:rStyle w:val="ICBAbold"/>
          <w:b w:val="0"/>
        </w:rPr>
        <w:t>other</w:t>
      </w:r>
      <w:proofErr w:type="gramEnd"/>
      <w:r w:rsidR="00F449E1">
        <w:rPr>
          <w:rStyle w:val="ICBAbold"/>
          <w:b w:val="0"/>
        </w:rPr>
        <w:t xml:space="preserve"> end of the spectrum, </w:t>
      </w:r>
      <w:r w:rsidR="00B84470">
        <w:rPr>
          <w:rStyle w:val="ICBAbold"/>
          <w:b w:val="0"/>
        </w:rPr>
        <w:t xml:space="preserve">the bottom </w:t>
      </w:r>
      <w:r w:rsidR="00F449E1">
        <w:rPr>
          <w:rStyle w:val="ICBAbold"/>
          <w:b w:val="0"/>
        </w:rPr>
        <w:t xml:space="preserve">quartile was only 9% </w:t>
      </w:r>
      <w:r>
        <w:rPr>
          <w:rStyle w:val="ICBAbold"/>
          <w:b w:val="0"/>
        </w:rPr>
        <w:t xml:space="preserve">invested in </w:t>
      </w:r>
      <w:r w:rsidR="00F449E1">
        <w:rPr>
          <w:rStyle w:val="ICBAbold"/>
          <w:b w:val="0"/>
        </w:rPr>
        <w:t xml:space="preserve">munis. </w:t>
      </w:r>
    </w:p>
    <w:p w14:paraId="278E370D" w14:textId="77777777" w:rsidR="00F864EA" w:rsidRDefault="00F864EA" w:rsidP="009E10C0">
      <w:pPr>
        <w:tabs>
          <w:tab w:val="left" w:pos="540"/>
        </w:tabs>
        <w:jc w:val="both"/>
        <w:rPr>
          <w:rStyle w:val="ICBAbold"/>
          <w:b w:val="0"/>
        </w:rPr>
      </w:pPr>
    </w:p>
    <w:p w14:paraId="36D1AE11" w14:textId="7669EF89" w:rsidR="00A40ABE" w:rsidRDefault="00F449E1" w:rsidP="009E10C0">
      <w:pPr>
        <w:tabs>
          <w:tab w:val="left" w:pos="540"/>
        </w:tabs>
        <w:jc w:val="both"/>
        <w:rPr>
          <w:rStyle w:val="ICBAbold"/>
          <w:b w:val="0"/>
        </w:rPr>
      </w:pPr>
      <w:r>
        <w:rPr>
          <w:rStyle w:val="ICBAbold"/>
          <w:b w:val="0"/>
        </w:rPr>
        <w:t xml:space="preserve">Historically, </w:t>
      </w:r>
      <w:r w:rsidR="00773327">
        <w:rPr>
          <w:rStyle w:val="ICBAbold"/>
          <w:b w:val="0"/>
        </w:rPr>
        <w:t>the amount of munis a bank owns</w:t>
      </w:r>
      <w:r>
        <w:rPr>
          <w:rStyle w:val="ICBAbold"/>
          <w:b w:val="0"/>
        </w:rPr>
        <w:t xml:space="preserve"> in large part has been </w:t>
      </w:r>
      <w:r w:rsidR="00773327">
        <w:rPr>
          <w:rStyle w:val="ICBAbold"/>
          <w:b w:val="0"/>
        </w:rPr>
        <w:t>determin</w:t>
      </w:r>
      <w:r>
        <w:rPr>
          <w:rStyle w:val="ICBAbold"/>
          <w:b w:val="0"/>
        </w:rPr>
        <w:t>ed by a bank’s need to avoid tax liability. Some depository balance sheets have simply not had room for bonds, muni or otherwise. Others haven’t been profitable enough to worry about that option. Still others, such as S Corps</w:t>
      </w:r>
      <w:r w:rsidR="00EE1EC7">
        <w:rPr>
          <w:rStyle w:val="ICBAbold"/>
          <w:b w:val="0"/>
        </w:rPr>
        <w:t>,</w:t>
      </w:r>
      <w:r>
        <w:rPr>
          <w:rStyle w:val="ICBAbold"/>
          <w:b w:val="0"/>
        </w:rPr>
        <w:t xml:space="preserve"> which pass through their earnings to their shareholders, don’t benefit from tax-free earnings</w:t>
      </w:r>
      <w:r w:rsidR="00515C39">
        <w:rPr>
          <w:rStyle w:val="ICBAbold"/>
          <w:b w:val="0"/>
        </w:rPr>
        <w:t>.</w:t>
      </w:r>
    </w:p>
    <w:p w14:paraId="063670ED" w14:textId="7196E76C" w:rsidR="00515C39" w:rsidRDefault="00515C39" w:rsidP="009E10C0">
      <w:pPr>
        <w:tabs>
          <w:tab w:val="left" w:pos="540"/>
        </w:tabs>
        <w:jc w:val="both"/>
        <w:rPr>
          <w:rStyle w:val="ICBAbold"/>
          <w:b w:val="0"/>
        </w:rPr>
      </w:pPr>
    </w:p>
    <w:p w14:paraId="003DC649" w14:textId="77777777" w:rsidR="00515C39" w:rsidRDefault="00515C39" w:rsidP="00515C39">
      <w:pPr>
        <w:tabs>
          <w:tab w:val="left" w:pos="540"/>
        </w:tabs>
        <w:jc w:val="both"/>
        <w:rPr>
          <w:rStyle w:val="ICBAbold"/>
        </w:rPr>
      </w:pPr>
      <w:r>
        <w:rPr>
          <w:rStyle w:val="ICBAbold"/>
        </w:rPr>
        <w:t>Supply shift</w:t>
      </w:r>
    </w:p>
    <w:p w14:paraId="6A5F8694" w14:textId="55078864" w:rsidR="00A40ABE" w:rsidRDefault="00F449E1" w:rsidP="009E10C0">
      <w:pPr>
        <w:tabs>
          <w:tab w:val="left" w:pos="540"/>
        </w:tabs>
        <w:jc w:val="both"/>
        <w:rPr>
          <w:rStyle w:val="ICBAbold"/>
          <w:b w:val="0"/>
        </w:rPr>
      </w:pPr>
      <w:r>
        <w:rPr>
          <w:rStyle w:val="ICBAbold"/>
          <w:b w:val="0"/>
        </w:rPr>
        <w:t xml:space="preserve">Fast forward to </w:t>
      </w:r>
      <w:r w:rsidR="00515C39">
        <w:rPr>
          <w:rStyle w:val="ICBAbold"/>
          <w:b w:val="0"/>
        </w:rPr>
        <w:t>the Tax Cut</w:t>
      </w:r>
      <w:r w:rsidR="00773327">
        <w:rPr>
          <w:rStyle w:val="ICBAbold"/>
          <w:b w:val="0"/>
        </w:rPr>
        <w:t>s</w:t>
      </w:r>
      <w:r w:rsidR="00515C39">
        <w:rPr>
          <w:rStyle w:val="ICBAbold"/>
          <w:b w:val="0"/>
        </w:rPr>
        <w:t xml:space="preserve"> and Jobs Act of 2017</w:t>
      </w:r>
      <w:r>
        <w:rPr>
          <w:rStyle w:val="ICBAbold"/>
          <w:b w:val="0"/>
        </w:rPr>
        <w:t xml:space="preserve">. </w:t>
      </w:r>
      <w:r w:rsidR="00515C39">
        <w:rPr>
          <w:rStyle w:val="ICBAbold"/>
          <w:b w:val="0"/>
        </w:rPr>
        <w:t xml:space="preserve">Corporate tax rates were </w:t>
      </w:r>
      <w:r w:rsidR="00773327">
        <w:rPr>
          <w:rStyle w:val="ICBAbold"/>
          <w:b w:val="0"/>
        </w:rPr>
        <w:t>reduced</w:t>
      </w:r>
      <w:r w:rsidR="00515C39">
        <w:rPr>
          <w:rStyle w:val="ICBAbold"/>
          <w:b w:val="0"/>
        </w:rPr>
        <w:t xml:space="preserve"> around 40%. That was good news for bottom lines, but it lowered the effective yields on all tax-effected assets, such as traditional munis and bank-owned life insurance. Since that time, banks have shed about one-fifth of their tax-frees.</w:t>
      </w:r>
    </w:p>
    <w:p w14:paraId="7B282F9E" w14:textId="4FB7B2AA" w:rsidR="00515C39" w:rsidRDefault="00515C39" w:rsidP="009E10C0">
      <w:pPr>
        <w:tabs>
          <w:tab w:val="left" w:pos="540"/>
        </w:tabs>
        <w:jc w:val="both"/>
        <w:rPr>
          <w:rStyle w:val="ICBAbold"/>
          <w:b w:val="0"/>
        </w:rPr>
      </w:pPr>
    </w:p>
    <w:p w14:paraId="19CECD57" w14:textId="666920C6" w:rsidR="00775D48" w:rsidRDefault="00515C39" w:rsidP="009E10C0">
      <w:pPr>
        <w:tabs>
          <w:tab w:val="left" w:pos="540"/>
        </w:tabs>
        <w:jc w:val="both"/>
        <w:rPr>
          <w:rStyle w:val="ICBAbold"/>
          <w:b w:val="0"/>
        </w:rPr>
      </w:pPr>
      <w:r>
        <w:rPr>
          <w:rStyle w:val="ICBAbold"/>
          <w:b w:val="0"/>
        </w:rPr>
        <w:t xml:space="preserve">Another subtle, but significant, </w:t>
      </w:r>
      <w:r w:rsidR="00773327">
        <w:rPr>
          <w:rStyle w:val="ICBAbold"/>
          <w:b w:val="0"/>
        </w:rPr>
        <w:t>feature</w:t>
      </w:r>
      <w:r>
        <w:rPr>
          <w:rStyle w:val="ICBAbold"/>
          <w:b w:val="0"/>
        </w:rPr>
        <w:t xml:space="preserve"> in </w:t>
      </w:r>
      <w:r w:rsidR="00EE1EC7">
        <w:rPr>
          <w:rStyle w:val="ICBAbold"/>
          <w:b w:val="0"/>
        </w:rPr>
        <w:t>that legislation</w:t>
      </w:r>
      <w:r>
        <w:rPr>
          <w:rStyle w:val="ICBAbold"/>
          <w:b w:val="0"/>
        </w:rPr>
        <w:t xml:space="preserve"> was to </w:t>
      </w:r>
      <w:proofErr w:type="gramStart"/>
      <w:r>
        <w:rPr>
          <w:rStyle w:val="ICBAbold"/>
          <w:b w:val="0"/>
        </w:rPr>
        <w:t>no longer allow muni issuers</w:t>
      </w:r>
      <w:proofErr w:type="gramEnd"/>
      <w:r>
        <w:rPr>
          <w:rStyle w:val="ICBAbold"/>
          <w:b w:val="0"/>
        </w:rPr>
        <w:t xml:space="preserve"> to “pre-refinance” their outstanding debt into other, new tax-free issues. </w:t>
      </w:r>
      <w:r w:rsidR="005A5D09">
        <w:rPr>
          <w:rStyle w:val="ICBAbold"/>
          <w:b w:val="0"/>
        </w:rPr>
        <w:t xml:space="preserve">These older bonds could only be refinanced into taxable issues going forward. </w:t>
      </w:r>
      <w:r w:rsidR="00773327">
        <w:rPr>
          <w:rStyle w:val="ICBAbold"/>
          <w:b w:val="0"/>
        </w:rPr>
        <w:t>That has had a major impact on the types of munis being issued in the current environment.</w:t>
      </w:r>
    </w:p>
    <w:p w14:paraId="650E6C01" w14:textId="75523E99" w:rsidR="00A537A2" w:rsidRDefault="00A537A2" w:rsidP="009E10C0">
      <w:pPr>
        <w:tabs>
          <w:tab w:val="left" w:pos="540"/>
        </w:tabs>
        <w:jc w:val="both"/>
        <w:rPr>
          <w:rStyle w:val="ICBAbold"/>
          <w:b w:val="0"/>
        </w:rPr>
      </w:pPr>
    </w:p>
    <w:p w14:paraId="6F38646C" w14:textId="3B4E4044" w:rsidR="00A537A2" w:rsidRDefault="00A537A2" w:rsidP="009E10C0">
      <w:pPr>
        <w:tabs>
          <w:tab w:val="left" w:pos="540"/>
        </w:tabs>
        <w:jc w:val="both"/>
        <w:rPr>
          <w:rStyle w:val="ICBAbold"/>
          <w:b w:val="0"/>
        </w:rPr>
      </w:pPr>
      <w:r>
        <w:rPr>
          <w:rStyle w:val="ICBAbold"/>
          <w:b w:val="0"/>
        </w:rPr>
        <w:t xml:space="preserve">In the 2020 calendar year, fully 30% of municipal bond issues were of the taxable variety. This is a </w:t>
      </w:r>
      <w:r w:rsidR="00F16856">
        <w:rPr>
          <w:rStyle w:val="ICBAbold"/>
          <w:b w:val="0"/>
        </w:rPr>
        <w:t>decade-plus</w:t>
      </w:r>
      <w:r>
        <w:rPr>
          <w:rStyle w:val="ICBAbold"/>
          <w:b w:val="0"/>
        </w:rPr>
        <w:t xml:space="preserve"> </w:t>
      </w:r>
      <w:r w:rsidR="00B84470">
        <w:rPr>
          <w:rStyle w:val="ICBAbold"/>
          <w:b w:val="0"/>
        </w:rPr>
        <w:t>high-water</w:t>
      </w:r>
      <w:r>
        <w:rPr>
          <w:rStyle w:val="ICBAbold"/>
          <w:b w:val="0"/>
        </w:rPr>
        <w:t xml:space="preserve"> mark. Less than </w:t>
      </w:r>
      <w:r w:rsidR="00EE1EC7">
        <w:rPr>
          <w:rStyle w:val="ICBAbold"/>
          <w:b w:val="0"/>
        </w:rPr>
        <w:t xml:space="preserve">10 </w:t>
      </w:r>
      <w:r>
        <w:rPr>
          <w:rStyle w:val="ICBAbold"/>
          <w:b w:val="0"/>
        </w:rPr>
        <w:t>years ago, taxable munis were but a blip on the new issue</w:t>
      </w:r>
      <w:r w:rsidR="00450710">
        <w:rPr>
          <w:rStyle w:val="ICBAbold"/>
          <w:b w:val="0"/>
        </w:rPr>
        <w:t xml:space="preserve"> screen. They’d constitute somewhere between 3% and 7% of total</w:t>
      </w:r>
      <w:r w:rsidR="00B57C48">
        <w:rPr>
          <w:rStyle w:val="ICBAbold"/>
          <w:b w:val="0"/>
        </w:rPr>
        <w:t xml:space="preserve"> new issuances</w:t>
      </w:r>
      <w:r w:rsidR="009B29B0">
        <w:rPr>
          <w:rStyle w:val="ICBAbold"/>
          <w:b w:val="0"/>
        </w:rPr>
        <w:t>.</w:t>
      </w:r>
      <w:r w:rsidR="00450710">
        <w:rPr>
          <w:rStyle w:val="ICBAbold"/>
          <w:b w:val="0"/>
        </w:rPr>
        <w:t xml:space="preserve"> In fact, the only year that taxable </w:t>
      </w:r>
      <w:r w:rsidR="006E2A8F">
        <w:rPr>
          <w:rStyle w:val="ICBAbold"/>
          <w:b w:val="0"/>
        </w:rPr>
        <w:t>munis exceeded 2020’s volume was 2010, and that was purely a function of the narrow window for issuing Build America Bonds (BABs), a type of taxable munis only available for issue in 2009</w:t>
      </w:r>
      <w:r w:rsidR="009B29B0">
        <w:rPr>
          <w:rStyle w:val="ICBAbold"/>
          <w:b w:val="0"/>
        </w:rPr>
        <w:t>–20</w:t>
      </w:r>
      <w:r w:rsidR="006E2A8F">
        <w:rPr>
          <w:rStyle w:val="ICBAbold"/>
          <w:b w:val="0"/>
        </w:rPr>
        <w:t xml:space="preserve">10. </w:t>
      </w:r>
    </w:p>
    <w:p w14:paraId="5809F62B" w14:textId="1135C63C" w:rsidR="00773327" w:rsidRDefault="00773327" w:rsidP="009E10C0">
      <w:pPr>
        <w:tabs>
          <w:tab w:val="left" w:pos="540"/>
        </w:tabs>
        <w:jc w:val="both"/>
        <w:rPr>
          <w:rStyle w:val="ICBAbold"/>
          <w:b w:val="0"/>
        </w:rPr>
      </w:pPr>
    </w:p>
    <w:p w14:paraId="3F37F4C7" w14:textId="1D1B300D" w:rsidR="008105C9" w:rsidRDefault="00C22CB6" w:rsidP="009E10C0">
      <w:pPr>
        <w:tabs>
          <w:tab w:val="left" w:pos="540"/>
        </w:tabs>
        <w:jc w:val="both"/>
        <w:rPr>
          <w:rStyle w:val="ICBAbold"/>
        </w:rPr>
      </w:pPr>
      <w:r>
        <w:rPr>
          <w:rStyle w:val="ICBAbold"/>
        </w:rPr>
        <w:t>Crowd pleasers</w:t>
      </w:r>
    </w:p>
    <w:p w14:paraId="7E98221A" w14:textId="4E51CABE" w:rsidR="00B874C6" w:rsidRDefault="008965BE" w:rsidP="009E10C0">
      <w:pPr>
        <w:tabs>
          <w:tab w:val="left" w:pos="540"/>
        </w:tabs>
        <w:jc w:val="both"/>
        <w:rPr>
          <w:rStyle w:val="ICBAbold"/>
          <w:b w:val="0"/>
          <w:bCs/>
        </w:rPr>
      </w:pPr>
      <w:r>
        <w:rPr>
          <w:rStyle w:val="ICBAbold"/>
          <w:b w:val="0"/>
          <w:bCs/>
        </w:rPr>
        <w:t>Now to the afore</w:t>
      </w:r>
      <w:r w:rsidR="00B64F42">
        <w:rPr>
          <w:rStyle w:val="ICBAbold"/>
          <w:b w:val="0"/>
          <w:bCs/>
        </w:rPr>
        <w:t>-promised</w:t>
      </w:r>
      <w:r>
        <w:rPr>
          <w:rStyle w:val="ICBAbold"/>
          <w:b w:val="0"/>
          <w:bCs/>
        </w:rPr>
        <w:t xml:space="preserve"> good news.</w:t>
      </w:r>
      <w:r w:rsidR="004827A1">
        <w:rPr>
          <w:rStyle w:val="ICBAbold"/>
          <w:b w:val="0"/>
          <w:bCs/>
        </w:rPr>
        <w:t xml:space="preserve"> If your community bank isn’t much invested in munis, taxables could bring some welcome relief to the </w:t>
      </w:r>
      <w:r w:rsidR="00B874C6">
        <w:rPr>
          <w:rStyle w:val="ICBAbold"/>
          <w:b w:val="0"/>
          <w:bCs/>
        </w:rPr>
        <w:t>issues mentioned in the first paragraph. As supply has grown and the interest rate curve has steep</w:t>
      </w:r>
      <w:r w:rsidR="001F5873">
        <w:rPr>
          <w:rStyle w:val="ICBAbold"/>
          <w:b w:val="0"/>
          <w:bCs/>
        </w:rPr>
        <w:t>en</w:t>
      </w:r>
      <w:r w:rsidR="00B874C6">
        <w:rPr>
          <w:rStyle w:val="ICBAbold"/>
          <w:b w:val="0"/>
          <w:bCs/>
        </w:rPr>
        <w:t xml:space="preserve">ed </w:t>
      </w:r>
      <w:r w:rsidR="00EE1EC7">
        <w:rPr>
          <w:rStyle w:val="ICBAbold"/>
          <w:b w:val="0"/>
          <w:bCs/>
        </w:rPr>
        <w:t>throughout</w:t>
      </w:r>
      <w:r w:rsidR="00B874C6">
        <w:rPr>
          <w:rStyle w:val="ICBAbold"/>
          <w:b w:val="0"/>
          <w:bCs/>
        </w:rPr>
        <w:t xml:space="preserve"> 2021, taxable munis can serve a number of purposes, not the least of which is respectable return. An investor can also now realistically hope for an issue that’s reasonably </w:t>
      </w:r>
      <w:r w:rsidR="00B64F42">
        <w:rPr>
          <w:rStyle w:val="ICBAbold"/>
          <w:b w:val="0"/>
          <w:bCs/>
        </w:rPr>
        <w:t>proximate to its footprint</w:t>
      </w:r>
      <w:r w:rsidR="00B874C6">
        <w:rPr>
          <w:rStyle w:val="ICBAbold"/>
          <w:b w:val="0"/>
          <w:bCs/>
        </w:rPr>
        <w:t>.</w:t>
      </w:r>
    </w:p>
    <w:p w14:paraId="6AF27D6E" w14:textId="73C2D80C" w:rsidR="001F5873" w:rsidRDefault="001F5873" w:rsidP="009E10C0">
      <w:pPr>
        <w:tabs>
          <w:tab w:val="left" w:pos="540"/>
        </w:tabs>
        <w:jc w:val="both"/>
        <w:rPr>
          <w:rStyle w:val="ICBAbold"/>
          <w:b w:val="0"/>
          <w:bCs/>
        </w:rPr>
      </w:pPr>
    </w:p>
    <w:p w14:paraId="14E74491" w14:textId="33E11B00" w:rsidR="001F5873" w:rsidRDefault="001F5873" w:rsidP="009E10C0">
      <w:pPr>
        <w:tabs>
          <w:tab w:val="left" w:pos="540"/>
        </w:tabs>
        <w:jc w:val="both"/>
        <w:rPr>
          <w:rStyle w:val="ICBAbold"/>
          <w:b w:val="0"/>
          <w:bCs/>
        </w:rPr>
      </w:pPr>
      <w:r>
        <w:rPr>
          <w:rStyle w:val="ICBAbold"/>
          <w:b w:val="0"/>
          <w:bCs/>
        </w:rPr>
        <w:t xml:space="preserve">Speaking of returns, a high-grade general obligation taxable muni will out-yield a bank-qualified </w:t>
      </w:r>
      <w:r w:rsidR="008D6B8E">
        <w:rPr>
          <w:rStyle w:val="ICBAbold"/>
          <w:b w:val="0"/>
          <w:bCs/>
        </w:rPr>
        <w:t xml:space="preserve">(BQ) </w:t>
      </w:r>
      <w:r>
        <w:rPr>
          <w:rStyle w:val="ICBAbold"/>
          <w:b w:val="0"/>
          <w:bCs/>
        </w:rPr>
        <w:t xml:space="preserve">issue </w:t>
      </w:r>
      <w:r w:rsidR="008D6B8E">
        <w:rPr>
          <w:rStyle w:val="ICBAbold"/>
          <w:b w:val="0"/>
          <w:bCs/>
        </w:rPr>
        <w:t>at any point on the yield curve. As of this writing, a 10-year AA-rated BQ bond will have tax-equivalent yield of about 1.</w:t>
      </w:r>
      <w:r w:rsidR="00B12C66">
        <w:rPr>
          <w:rStyle w:val="ICBAbold"/>
          <w:b w:val="0"/>
          <w:bCs/>
        </w:rPr>
        <w:t>85</w:t>
      </w:r>
      <w:r w:rsidR="008D6B8E">
        <w:rPr>
          <w:rStyle w:val="ICBAbold"/>
          <w:b w:val="0"/>
          <w:bCs/>
        </w:rPr>
        <w:t>%</w:t>
      </w:r>
      <w:r w:rsidR="00B12C66">
        <w:rPr>
          <w:rStyle w:val="ICBAbold"/>
          <w:b w:val="0"/>
          <w:bCs/>
        </w:rPr>
        <w:t xml:space="preserve">, whereas a similar-duration taxable will be about 2.10%. There are a number of reasons for this, </w:t>
      </w:r>
      <w:r w:rsidR="00EE1EC7">
        <w:rPr>
          <w:rStyle w:val="ICBAbold"/>
          <w:b w:val="0"/>
          <w:bCs/>
        </w:rPr>
        <w:t>including the</w:t>
      </w:r>
      <w:r w:rsidR="00B12C66">
        <w:rPr>
          <w:rStyle w:val="ICBAbold"/>
          <w:b w:val="0"/>
          <w:bCs/>
        </w:rPr>
        <w:t xml:space="preserve"> relative lack of supply of BQ paper. Also, it bears mentioning that S Corp banks, if they’re able to have tax-free income, will </w:t>
      </w:r>
      <w:r w:rsidR="00655BAB">
        <w:rPr>
          <w:rStyle w:val="ICBAbold"/>
          <w:b w:val="0"/>
          <w:bCs/>
        </w:rPr>
        <w:t>recognize</w:t>
      </w:r>
      <w:r w:rsidR="00B12C66">
        <w:rPr>
          <w:rStyle w:val="ICBAbold"/>
          <w:b w:val="0"/>
          <w:bCs/>
        </w:rPr>
        <w:t xml:space="preserve"> higher tax-equivalent yields than their C Corp brethren.</w:t>
      </w:r>
    </w:p>
    <w:p w14:paraId="6D1D457C" w14:textId="16FF8FD9" w:rsidR="00655BAB" w:rsidRDefault="00655BAB" w:rsidP="009E10C0">
      <w:pPr>
        <w:tabs>
          <w:tab w:val="left" w:pos="540"/>
        </w:tabs>
        <w:jc w:val="both"/>
        <w:rPr>
          <w:rStyle w:val="ICBAbold"/>
          <w:b w:val="0"/>
          <w:bCs/>
        </w:rPr>
      </w:pPr>
    </w:p>
    <w:p w14:paraId="53694116" w14:textId="6473E30C" w:rsidR="003B1ACA" w:rsidRDefault="00655BAB" w:rsidP="009E10C0">
      <w:pPr>
        <w:tabs>
          <w:tab w:val="left" w:pos="540"/>
        </w:tabs>
        <w:jc w:val="both"/>
        <w:rPr>
          <w:rStyle w:val="ICBAbold"/>
          <w:b w:val="0"/>
          <w:bCs/>
        </w:rPr>
      </w:pPr>
      <w:r>
        <w:rPr>
          <w:rStyle w:val="ICBAbold"/>
          <w:b w:val="0"/>
          <w:bCs/>
        </w:rPr>
        <w:t xml:space="preserve">What’s the downside? Just like any other taxable security, municipal bonds will have a higher degree of price volatility than tax-frees. However, the additional price risk is less than it used to be back </w:t>
      </w:r>
      <w:r w:rsidR="00EE1EC7">
        <w:rPr>
          <w:rStyle w:val="ICBAbold"/>
          <w:b w:val="0"/>
          <w:bCs/>
        </w:rPr>
        <w:t xml:space="preserve">in </w:t>
      </w:r>
      <w:r>
        <w:rPr>
          <w:rStyle w:val="ICBAbold"/>
          <w:b w:val="0"/>
          <w:bCs/>
        </w:rPr>
        <w:t xml:space="preserve">the era of 36% marginal rates for C Corps. It’s anyone’s guess what the impact of higher marginal tax rates will </w:t>
      </w:r>
      <w:r w:rsidR="00EE1EC7">
        <w:rPr>
          <w:rStyle w:val="ICBAbold"/>
          <w:b w:val="0"/>
          <w:bCs/>
        </w:rPr>
        <w:t xml:space="preserve">be </w:t>
      </w:r>
      <w:r>
        <w:rPr>
          <w:rStyle w:val="ICBAbold"/>
          <w:b w:val="0"/>
          <w:bCs/>
        </w:rPr>
        <w:t>to the tax-free muni market, but on the face of it, higher rates should be supportive of tax-effected assets.</w:t>
      </w:r>
    </w:p>
    <w:p w14:paraId="05EFE527" w14:textId="77777777" w:rsidR="003B1ACA" w:rsidRDefault="003B1ACA" w:rsidP="009E10C0">
      <w:pPr>
        <w:tabs>
          <w:tab w:val="left" w:pos="540"/>
        </w:tabs>
        <w:jc w:val="both"/>
        <w:rPr>
          <w:rStyle w:val="ICBAbold"/>
          <w:b w:val="0"/>
          <w:bCs/>
        </w:rPr>
      </w:pPr>
    </w:p>
    <w:p w14:paraId="653E3D97" w14:textId="4CDA4057" w:rsidR="00655BAB" w:rsidRDefault="00655BAB" w:rsidP="009E10C0">
      <w:pPr>
        <w:tabs>
          <w:tab w:val="left" w:pos="540"/>
        </w:tabs>
        <w:jc w:val="both"/>
        <w:rPr>
          <w:rStyle w:val="ICBAbold"/>
          <w:b w:val="0"/>
          <w:bCs/>
        </w:rPr>
      </w:pPr>
      <w:r>
        <w:rPr>
          <w:rStyle w:val="ICBAbold"/>
          <w:b w:val="0"/>
          <w:bCs/>
        </w:rPr>
        <w:t xml:space="preserve">In the meantime, the growing supply of taxable munis should continue to produce attractive yields. </w:t>
      </w:r>
      <w:r w:rsidR="003B1ACA">
        <w:rPr>
          <w:rStyle w:val="ICBAbold"/>
          <w:b w:val="0"/>
          <w:bCs/>
        </w:rPr>
        <w:t>The supply</w:t>
      </w:r>
      <w:r w:rsidR="00EE1EC7">
        <w:rPr>
          <w:rStyle w:val="ICBAbold"/>
          <w:b w:val="0"/>
          <w:bCs/>
        </w:rPr>
        <w:t>,</w:t>
      </w:r>
      <w:r w:rsidR="003B1ACA">
        <w:rPr>
          <w:rStyle w:val="ICBAbold"/>
          <w:b w:val="0"/>
          <w:bCs/>
        </w:rPr>
        <w:t xml:space="preserve"> both in absolute dollars and for a given issue (which isn’t limited to $10 million per issuer per year that BQs are), should produce more than adequate liquidity. </w:t>
      </w:r>
      <w:r w:rsidR="00361597">
        <w:rPr>
          <w:rStyle w:val="ICBAbold"/>
          <w:b w:val="0"/>
          <w:bCs/>
        </w:rPr>
        <w:t>The</w:t>
      </w:r>
      <w:r w:rsidR="00F5056B">
        <w:rPr>
          <w:rStyle w:val="ICBAbold"/>
          <w:b w:val="0"/>
          <w:bCs/>
        </w:rPr>
        <w:t xml:space="preserve"> benefits and availability of taxable </w:t>
      </w:r>
      <w:r w:rsidR="00361597">
        <w:rPr>
          <w:rStyle w:val="ICBAbold"/>
          <w:b w:val="0"/>
          <w:bCs/>
        </w:rPr>
        <w:t>munis should appeal to the many community banks looking for the right combination of risk and reward.</w:t>
      </w:r>
    </w:p>
    <w:p w14:paraId="1516B565" w14:textId="23399E96" w:rsidR="00754FCC" w:rsidRDefault="00754FCC" w:rsidP="009E10C0">
      <w:pPr>
        <w:tabs>
          <w:tab w:val="left" w:pos="540"/>
        </w:tabs>
        <w:jc w:val="both"/>
        <w:rPr>
          <w:rStyle w:val="ICBAbold"/>
          <w:b w:val="0"/>
          <w:bCs/>
        </w:rPr>
      </w:pPr>
    </w:p>
    <w:p w14:paraId="0F72E85E" w14:textId="77777777" w:rsidR="00B874C6" w:rsidRDefault="00B874C6" w:rsidP="009E10C0">
      <w:pPr>
        <w:tabs>
          <w:tab w:val="left" w:pos="540"/>
        </w:tabs>
        <w:jc w:val="both"/>
        <w:rPr>
          <w:rStyle w:val="ICBAbold"/>
          <w:b w:val="0"/>
          <w:bCs/>
        </w:rPr>
      </w:pPr>
    </w:p>
    <w:p w14:paraId="5EECD358" w14:textId="07D051D1" w:rsidR="0006263F" w:rsidRPr="0006263F" w:rsidRDefault="0006263F" w:rsidP="00DE70B0">
      <w:pPr>
        <w:pStyle w:val="ListParagraph"/>
        <w:tabs>
          <w:tab w:val="left" w:pos="540"/>
        </w:tabs>
        <w:ind w:left="1263"/>
        <w:jc w:val="center"/>
        <w:rPr>
          <w:rStyle w:val="ICBAbold"/>
          <w:b w:val="0"/>
        </w:rPr>
      </w:pPr>
      <w:r>
        <w:rPr>
          <w:rStyle w:val="ICBAbold"/>
          <w:b w:val="0"/>
        </w:rPr>
        <w:t xml:space="preserve">*   *   *   *   </w:t>
      </w:r>
      <w:r w:rsidR="009D18FB">
        <w:rPr>
          <w:rStyle w:val="ICBAbold"/>
          <w:b w:val="0"/>
        </w:rPr>
        <w:t>*</w:t>
      </w:r>
    </w:p>
    <w:p w14:paraId="2831177E" w14:textId="77777777" w:rsidR="0006263F" w:rsidRDefault="0006263F" w:rsidP="009E10C0">
      <w:pPr>
        <w:tabs>
          <w:tab w:val="left" w:pos="540"/>
        </w:tabs>
        <w:jc w:val="both"/>
        <w:rPr>
          <w:rStyle w:val="ICBAbold"/>
          <w:b w:val="0"/>
        </w:rPr>
      </w:pPr>
    </w:p>
    <w:p w14:paraId="2D904E2E" w14:textId="77777777" w:rsidR="0006263F" w:rsidRPr="0006263F" w:rsidRDefault="0006263F" w:rsidP="009E10C0">
      <w:pPr>
        <w:tabs>
          <w:tab w:val="left" w:pos="540"/>
        </w:tabs>
        <w:jc w:val="both"/>
        <w:rPr>
          <w:i/>
        </w:rPr>
      </w:pPr>
      <w:r w:rsidRPr="0006263F">
        <w:rPr>
          <w:rStyle w:val="ICBAbold"/>
          <w:i/>
        </w:rPr>
        <w:t>Jim Reber</w:t>
      </w:r>
      <w:r w:rsidRPr="0006263F">
        <w:rPr>
          <w:i/>
        </w:rPr>
        <w:t xml:space="preserve"> (</w:t>
      </w:r>
      <w:hyperlink r:id="rId6" w:history="1">
        <w:r w:rsidRPr="0006263F">
          <w:rPr>
            <w:rStyle w:val="Hyperlink"/>
            <w:i/>
          </w:rPr>
          <w:t>jreber@icbasecurities.com</w:t>
        </w:r>
      </w:hyperlink>
      <w:r w:rsidRPr="0006263F">
        <w:rPr>
          <w:i/>
        </w:rPr>
        <w:t xml:space="preserve">) is president and CEO of ICBA Securities, ICBA’s institutional, fixed-income broker-dealer for community banks. </w:t>
      </w:r>
    </w:p>
    <w:p w14:paraId="07793CC3" w14:textId="77777777" w:rsidR="009E10C0" w:rsidRDefault="009E10C0" w:rsidP="009E10C0">
      <w:pPr>
        <w:tabs>
          <w:tab w:val="left" w:pos="540"/>
        </w:tabs>
        <w:jc w:val="both"/>
      </w:pPr>
    </w:p>
    <w:p w14:paraId="513B679F" w14:textId="77777777" w:rsidR="009E10C0" w:rsidRDefault="009E10C0" w:rsidP="009E10C0">
      <w:pPr>
        <w:ind w:left="-720" w:right="-720" w:firstLine="720"/>
        <w:jc w:val="both"/>
      </w:pPr>
      <w:r>
        <w:t>[Sidebar]</w:t>
      </w:r>
    </w:p>
    <w:p w14:paraId="2BDE296E" w14:textId="2BA7E579" w:rsidR="00B67260" w:rsidRPr="00B67260" w:rsidRDefault="00C94E56" w:rsidP="00B67260">
      <w:pPr>
        <w:rPr>
          <w:b/>
        </w:rPr>
      </w:pPr>
      <w:r>
        <w:rPr>
          <w:b/>
        </w:rPr>
        <w:t>Loan</w:t>
      </w:r>
      <w:r w:rsidR="00361597">
        <w:rPr>
          <w:b/>
        </w:rPr>
        <w:t xml:space="preserve"> portfolio management</w:t>
      </w:r>
      <w:r>
        <w:rPr>
          <w:b/>
        </w:rPr>
        <w:t xml:space="preserve"> webinar</w:t>
      </w:r>
    </w:p>
    <w:p w14:paraId="1CB5DE21" w14:textId="3BC0D743" w:rsidR="00107EE1" w:rsidRPr="00B67260" w:rsidRDefault="00B67260" w:rsidP="009E10C0">
      <w:pPr>
        <w:jc w:val="both"/>
        <w:rPr>
          <w:rStyle w:val="ICBAbold"/>
          <w:b w:val="0"/>
        </w:rPr>
      </w:pPr>
      <w:r w:rsidRPr="00B67260">
        <w:t xml:space="preserve">ICBA Securities and </w:t>
      </w:r>
      <w:r>
        <w:t xml:space="preserve">its exclusive broker </w:t>
      </w:r>
      <w:r w:rsidRPr="00B67260">
        <w:t xml:space="preserve">Vining Sparks </w:t>
      </w:r>
      <w:r w:rsidR="00361597">
        <w:t xml:space="preserve">will host its next segment of the 2021 Community Banking Matters webinar series on May 11 at 10 </w:t>
      </w:r>
      <w:r w:rsidR="00C94E56">
        <w:t xml:space="preserve">a.m. </w:t>
      </w:r>
      <w:r w:rsidR="00361597">
        <w:t>Central.</w:t>
      </w:r>
      <w:r w:rsidR="00C94E56">
        <w:t xml:space="preserve"> We will present Balance Sheet Management and Your Loan Portfolio</w:t>
      </w:r>
      <w:r w:rsidR="006A2A4F">
        <w:t>.</w:t>
      </w:r>
      <w:r w:rsidR="00C94E56">
        <w:t xml:space="preserve"> Visit </w:t>
      </w:r>
      <w:r w:rsidR="00C94E56" w:rsidRPr="006A2A4F">
        <w:rPr>
          <w:i/>
          <w:iCs/>
          <w:color w:val="0033CC"/>
          <w:u w:val="single"/>
        </w:rPr>
        <w:t>icbasecurities.com</w:t>
      </w:r>
      <w:r w:rsidR="00C94E56">
        <w:t xml:space="preserve"> to register. </w:t>
      </w:r>
    </w:p>
    <w:sectPr w:rsidR="00107EE1" w:rsidRPr="00B67260" w:rsidSect="00343E6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8"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8" w15:restartNumberingAfterBreak="0">
    <w:nsid w:val="5E7619B6"/>
    <w:multiLevelType w:val="hybridMultilevel"/>
    <w:tmpl w:val="242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7"/>
  </w:num>
  <w:num w:numId="3">
    <w:abstractNumId w:val="14"/>
  </w:num>
  <w:num w:numId="4">
    <w:abstractNumId w:val="33"/>
  </w:num>
  <w:num w:numId="5">
    <w:abstractNumId w:val="11"/>
  </w:num>
  <w:num w:numId="6">
    <w:abstractNumId w:val="24"/>
  </w:num>
  <w:num w:numId="7">
    <w:abstractNumId w:val="21"/>
  </w:num>
  <w:num w:numId="8">
    <w:abstractNumId w:val="0"/>
  </w:num>
  <w:num w:numId="9">
    <w:abstractNumId w:val="22"/>
  </w:num>
  <w:num w:numId="10">
    <w:abstractNumId w:val="6"/>
  </w:num>
  <w:num w:numId="11">
    <w:abstractNumId w:val="25"/>
  </w:num>
  <w:num w:numId="12">
    <w:abstractNumId w:val="26"/>
  </w:num>
  <w:num w:numId="13">
    <w:abstractNumId w:val="16"/>
  </w:num>
  <w:num w:numId="14">
    <w:abstractNumId w:val="31"/>
  </w:num>
  <w:num w:numId="15">
    <w:abstractNumId w:val="19"/>
  </w:num>
  <w:num w:numId="16">
    <w:abstractNumId w:val="9"/>
  </w:num>
  <w:num w:numId="17">
    <w:abstractNumId w:val="23"/>
  </w:num>
  <w:num w:numId="18">
    <w:abstractNumId w:val="13"/>
  </w:num>
  <w:num w:numId="19">
    <w:abstractNumId w:val="2"/>
  </w:num>
  <w:num w:numId="20">
    <w:abstractNumId w:val="3"/>
  </w:num>
  <w:num w:numId="21">
    <w:abstractNumId w:val="29"/>
  </w:num>
  <w:num w:numId="22">
    <w:abstractNumId w:val="18"/>
  </w:num>
  <w:num w:numId="23">
    <w:abstractNumId w:val="5"/>
  </w:num>
  <w:num w:numId="24">
    <w:abstractNumId w:val="10"/>
  </w:num>
  <w:num w:numId="25">
    <w:abstractNumId w:val="12"/>
  </w:num>
  <w:num w:numId="26">
    <w:abstractNumId w:val="15"/>
  </w:num>
  <w:num w:numId="27">
    <w:abstractNumId w:val="32"/>
  </w:num>
  <w:num w:numId="28">
    <w:abstractNumId w:val="4"/>
  </w:num>
  <w:num w:numId="29">
    <w:abstractNumId w:val="1"/>
  </w:num>
  <w:num w:numId="30">
    <w:abstractNumId w:val="8"/>
  </w:num>
  <w:num w:numId="31">
    <w:abstractNumId w:val="20"/>
  </w:num>
  <w:num w:numId="32">
    <w:abstractNumId w:val="27"/>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7D"/>
    <w:rsid w:val="00002453"/>
    <w:rsid w:val="00002F33"/>
    <w:rsid w:val="000057FC"/>
    <w:rsid w:val="00005900"/>
    <w:rsid w:val="000076DD"/>
    <w:rsid w:val="00007AEB"/>
    <w:rsid w:val="00011679"/>
    <w:rsid w:val="00013A2D"/>
    <w:rsid w:val="00013AB6"/>
    <w:rsid w:val="000154A5"/>
    <w:rsid w:val="00015A62"/>
    <w:rsid w:val="00015F32"/>
    <w:rsid w:val="00016B59"/>
    <w:rsid w:val="0001766E"/>
    <w:rsid w:val="00017C0B"/>
    <w:rsid w:val="00017DB6"/>
    <w:rsid w:val="000204AE"/>
    <w:rsid w:val="00020EF5"/>
    <w:rsid w:val="000210E1"/>
    <w:rsid w:val="00021413"/>
    <w:rsid w:val="00021DBD"/>
    <w:rsid w:val="000247A7"/>
    <w:rsid w:val="00024ADE"/>
    <w:rsid w:val="00026487"/>
    <w:rsid w:val="00027F50"/>
    <w:rsid w:val="00030D9B"/>
    <w:rsid w:val="00030F53"/>
    <w:rsid w:val="0003107E"/>
    <w:rsid w:val="00031F9E"/>
    <w:rsid w:val="00033824"/>
    <w:rsid w:val="0003389A"/>
    <w:rsid w:val="00034044"/>
    <w:rsid w:val="0003423B"/>
    <w:rsid w:val="0003446B"/>
    <w:rsid w:val="00035A10"/>
    <w:rsid w:val="00035F85"/>
    <w:rsid w:val="00036599"/>
    <w:rsid w:val="00036920"/>
    <w:rsid w:val="00037C88"/>
    <w:rsid w:val="0004114B"/>
    <w:rsid w:val="00041DC0"/>
    <w:rsid w:val="00042B0A"/>
    <w:rsid w:val="00045325"/>
    <w:rsid w:val="00046C83"/>
    <w:rsid w:val="00047077"/>
    <w:rsid w:val="000507C7"/>
    <w:rsid w:val="00050965"/>
    <w:rsid w:val="00050B4F"/>
    <w:rsid w:val="00050EA0"/>
    <w:rsid w:val="000518AE"/>
    <w:rsid w:val="000519F2"/>
    <w:rsid w:val="00053929"/>
    <w:rsid w:val="00053DFD"/>
    <w:rsid w:val="0005431A"/>
    <w:rsid w:val="00054BF5"/>
    <w:rsid w:val="00054CA4"/>
    <w:rsid w:val="000563F5"/>
    <w:rsid w:val="000608B9"/>
    <w:rsid w:val="00061D21"/>
    <w:rsid w:val="0006263F"/>
    <w:rsid w:val="00062887"/>
    <w:rsid w:val="00063A9F"/>
    <w:rsid w:val="0006438A"/>
    <w:rsid w:val="00064C61"/>
    <w:rsid w:val="000722B3"/>
    <w:rsid w:val="0007251A"/>
    <w:rsid w:val="00072A61"/>
    <w:rsid w:val="00073ED0"/>
    <w:rsid w:val="00075029"/>
    <w:rsid w:val="0007580B"/>
    <w:rsid w:val="000805FB"/>
    <w:rsid w:val="00080787"/>
    <w:rsid w:val="00080F1C"/>
    <w:rsid w:val="000814C3"/>
    <w:rsid w:val="00081F69"/>
    <w:rsid w:val="0008229C"/>
    <w:rsid w:val="00082D18"/>
    <w:rsid w:val="0008621A"/>
    <w:rsid w:val="00086D50"/>
    <w:rsid w:val="00091039"/>
    <w:rsid w:val="000931E0"/>
    <w:rsid w:val="0009339D"/>
    <w:rsid w:val="0009583A"/>
    <w:rsid w:val="00095C21"/>
    <w:rsid w:val="000A0045"/>
    <w:rsid w:val="000A031F"/>
    <w:rsid w:val="000A1541"/>
    <w:rsid w:val="000A1958"/>
    <w:rsid w:val="000A505B"/>
    <w:rsid w:val="000A6190"/>
    <w:rsid w:val="000A6B2C"/>
    <w:rsid w:val="000B055B"/>
    <w:rsid w:val="000B179F"/>
    <w:rsid w:val="000B1C44"/>
    <w:rsid w:val="000B3260"/>
    <w:rsid w:val="000B3652"/>
    <w:rsid w:val="000B57FE"/>
    <w:rsid w:val="000B5879"/>
    <w:rsid w:val="000B6C8E"/>
    <w:rsid w:val="000C0D94"/>
    <w:rsid w:val="000C2E96"/>
    <w:rsid w:val="000C3167"/>
    <w:rsid w:val="000C5B37"/>
    <w:rsid w:val="000C6B3E"/>
    <w:rsid w:val="000C721A"/>
    <w:rsid w:val="000D1431"/>
    <w:rsid w:val="000D28BC"/>
    <w:rsid w:val="000D3680"/>
    <w:rsid w:val="000D3B4B"/>
    <w:rsid w:val="000D5018"/>
    <w:rsid w:val="000D596C"/>
    <w:rsid w:val="000D5B4D"/>
    <w:rsid w:val="000D5C33"/>
    <w:rsid w:val="000D627A"/>
    <w:rsid w:val="000D6F46"/>
    <w:rsid w:val="000E3B1F"/>
    <w:rsid w:val="000E4013"/>
    <w:rsid w:val="000E4059"/>
    <w:rsid w:val="000E4E1C"/>
    <w:rsid w:val="000E5FBC"/>
    <w:rsid w:val="000E68DB"/>
    <w:rsid w:val="000F0A9B"/>
    <w:rsid w:val="000F0B10"/>
    <w:rsid w:val="000F0F20"/>
    <w:rsid w:val="000F135D"/>
    <w:rsid w:val="000F1C6A"/>
    <w:rsid w:val="000F2FFC"/>
    <w:rsid w:val="000F4010"/>
    <w:rsid w:val="000F53E3"/>
    <w:rsid w:val="000F6AE6"/>
    <w:rsid w:val="000F7DC6"/>
    <w:rsid w:val="00100114"/>
    <w:rsid w:val="0010061D"/>
    <w:rsid w:val="001010C3"/>
    <w:rsid w:val="001013B2"/>
    <w:rsid w:val="00102BFC"/>
    <w:rsid w:val="00103CAD"/>
    <w:rsid w:val="0010723E"/>
    <w:rsid w:val="00107EE1"/>
    <w:rsid w:val="00111E18"/>
    <w:rsid w:val="00111E48"/>
    <w:rsid w:val="0011439A"/>
    <w:rsid w:val="00114B3D"/>
    <w:rsid w:val="001151E4"/>
    <w:rsid w:val="00115557"/>
    <w:rsid w:val="001162C0"/>
    <w:rsid w:val="00117469"/>
    <w:rsid w:val="00117E2E"/>
    <w:rsid w:val="00120042"/>
    <w:rsid w:val="00121494"/>
    <w:rsid w:val="00121885"/>
    <w:rsid w:val="00121F17"/>
    <w:rsid w:val="001231BD"/>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A1B"/>
    <w:rsid w:val="00140B60"/>
    <w:rsid w:val="00141144"/>
    <w:rsid w:val="0014135D"/>
    <w:rsid w:val="00141F98"/>
    <w:rsid w:val="00142F7D"/>
    <w:rsid w:val="00143080"/>
    <w:rsid w:val="00144504"/>
    <w:rsid w:val="00144565"/>
    <w:rsid w:val="0014572B"/>
    <w:rsid w:val="00145E0D"/>
    <w:rsid w:val="001461EE"/>
    <w:rsid w:val="00146B35"/>
    <w:rsid w:val="00150885"/>
    <w:rsid w:val="00150BE6"/>
    <w:rsid w:val="00150C6F"/>
    <w:rsid w:val="00151099"/>
    <w:rsid w:val="00151AED"/>
    <w:rsid w:val="00152E5A"/>
    <w:rsid w:val="001550F4"/>
    <w:rsid w:val="00156B35"/>
    <w:rsid w:val="001633EC"/>
    <w:rsid w:val="00163CF2"/>
    <w:rsid w:val="001645E7"/>
    <w:rsid w:val="001647C7"/>
    <w:rsid w:val="00164B44"/>
    <w:rsid w:val="00164CE2"/>
    <w:rsid w:val="00164D77"/>
    <w:rsid w:val="001663A5"/>
    <w:rsid w:val="00167A04"/>
    <w:rsid w:val="00170A04"/>
    <w:rsid w:val="00170ED9"/>
    <w:rsid w:val="00172096"/>
    <w:rsid w:val="00172296"/>
    <w:rsid w:val="00172AF4"/>
    <w:rsid w:val="00173D79"/>
    <w:rsid w:val="00174D25"/>
    <w:rsid w:val="00174DF0"/>
    <w:rsid w:val="00175E9A"/>
    <w:rsid w:val="00176A00"/>
    <w:rsid w:val="00182318"/>
    <w:rsid w:val="00185262"/>
    <w:rsid w:val="00187870"/>
    <w:rsid w:val="00193D70"/>
    <w:rsid w:val="001941A3"/>
    <w:rsid w:val="001948D7"/>
    <w:rsid w:val="00194FF2"/>
    <w:rsid w:val="001957D7"/>
    <w:rsid w:val="00195963"/>
    <w:rsid w:val="001A0893"/>
    <w:rsid w:val="001A3102"/>
    <w:rsid w:val="001A468B"/>
    <w:rsid w:val="001A49E8"/>
    <w:rsid w:val="001A5B81"/>
    <w:rsid w:val="001A5E9A"/>
    <w:rsid w:val="001B04B5"/>
    <w:rsid w:val="001B13A0"/>
    <w:rsid w:val="001B1862"/>
    <w:rsid w:val="001B1BAC"/>
    <w:rsid w:val="001B27D6"/>
    <w:rsid w:val="001B2FFA"/>
    <w:rsid w:val="001B355F"/>
    <w:rsid w:val="001B403E"/>
    <w:rsid w:val="001B4EE0"/>
    <w:rsid w:val="001B612B"/>
    <w:rsid w:val="001B7DEC"/>
    <w:rsid w:val="001C0D72"/>
    <w:rsid w:val="001C1350"/>
    <w:rsid w:val="001C16F3"/>
    <w:rsid w:val="001C3D2F"/>
    <w:rsid w:val="001C50C5"/>
    <w:rsid w:val="001C5436"/>
    <w:rsid w:val="001C5683"/>
    <w:rsid w:val="001C5FFD"/>
    <w:rsid w:val="001C6190"/>
    <w:rsid w:val="001C7F04"/>
    <w:rsid w:val="001D067F"/>
    <w:rsid w:val="001D1529"/>
    <w:rsid w:val="001D2293"/>
    <w:rsid w:val="001D2596"/>
    <w:rsid w:val="001D2C01"/>
    <w:rsid w:val="001D390B"/>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6511"/>
    <w:rsid w:val="001E7851"/>
    <w:rsid w:val="001E7DB8"/>
    <w:rsid w:val="001F21AB"/>
    <w:rsid w:val="001F256A"/>
    <w:rsid w:val="001F26FC"/>
    <w:rsid w:val="001F31D1"/>
    <w:rsid w:val="001F3DD9"/>
    <w:rsid w:val="001F45AD"/>
    <w:rsid w:val="001F4658"/>
    <w:rsid w:val="001F4CAB"/>
    <w:rsid w:val="001F4F8B"/>
    <w:rsid w:val="001F5357"/>
    <w:rsid w:val="001F5873"/>
    <w:rsid w:val="001F5875"/>
    <w:rsid w:val="001F5E2E"/>
    <w:rsid w:val="001F6452"/>
    <w:rsid w:val="001F65A9"/>
    <w:rsid w:val="001F686A"/>
    <w:rsid w:val="001F6BD1"/>
    <w:rsid w:val="001F7223"/>
    <w:rsid w:val="001F7CC7"/>
    <w:rsid w:val="001F7F4F"/>
    <w:rsid w:val="0020251A"/>
    <w:rsid w:val="0020375D"/>
    <w:rsid w:val="002066B2"/>
    <w:rsid w:val="00206D80"/>
    <w:rsid w:val="00211086"/>
    <w:rsid w:val="00211D91"/>
    <w:rsid w:val="00212537"/>
    <w:rsid w:val="00212F46"/>
    <w:rsid w:val="00212FBA"/>
    <w:rsid w:val="0021313A"/>
    <w:rsid w:val="002132C2"/>
    <w:rsid w:val="00214548"/>
    <w:rsid w:val="0021483C"/>
    <w:rsid w:val="00214BFB"/>
    <w:rsid w:val="00215152"/>
    <w:rsid w:val="0021580A"/>
    <w:rsid w:val="0021607F"/>
    <w:rsid w:val="00222160"/>
    <w:rsid w:val="002227C2"/>
    <w:rsid w:val="00223CCB"/>
    <w:rsid w:val="0022502E"/>
    <w:rsid w:val="00225354"/>
    <w:rsid w:val="00225E52"/>
    <w:rsid w:val="00226624"/>
    <w:rsid w:val="00226B69"/>
    <w:rsid w:val="00227F86"/>
    <w:rsid w:val="002307D1"/>
    <w:rsid w:val="002322F1"/>
    <w:rsid w:val="00232DE7"/>
    <w:rsid w:val="0023344F"/>
    <w:rsid w:val="00233E8B"/>
    <w:rsid w:val="00235C73"/>
    <w:rsid w:val="002371FD"/>
    <w:rsid w:val="00237A7B"/>
    <w:rsid w:val="0024180A"/>
    <w:rsid w:val="00242665"/>
    <w:rsid w:val="00243274"/>
    <w:rsid w:val="00243549"/>
    <w:rsid w:val="00244542"/>
    <w:rsid w:val="00244C21"/>
    <w:rsid w:val="00244C98"/>
    <w:rsid w:val="00246B42"/>
    <w:rsid w:val="00251BC7"/>
    <w:rsid w:val="00252BA7"/>
    <w:rsid w:val="00253731"/>
    <w:rsid w:val="00253E77"/>
    <w:rsid w:val="00254A8C"/>
    <w:rsid w:val="002552E4"/>
    <w:rsid w:val="00255959"/>
    <w:rsid w:val="0025596B"/>
    <w:rsid w:val="00255BEA"/>
    <w:rsid w:val="00256FD3"/>
    <w:rsid w:val="0025757D"/>
    <w:rsid w:val="00257DA4"/>
    <w:rsid w:val="002613AF"/>
    <w:rsid w:val="00261C92"/>
    <w:rsid w:val="002628DC"/>
    <w:rsid w:val="00262F49"/>
    <w:rsid w:val="002642E3"/>
    <w:rsid w:val="00264475"/>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23BF"/>
    <w:rsid w:val="00282FE5"/>
    <w:rsid w:val="00283154"/>
    <w:rsid w:val="00283F95"/>
    <w:rsid w:val="002846EB"/>
    <w:rsid w:val="0028490C"/>
    <w:rsid w:val="00284A49"/>
    <w:rsid w:val="002855FF"/>
    <w:rsid w:val="0028565E"/>
    <w:rsid w:val="00285EE1"/>
    <w:rsid w:val="002869A1"/>
    <w:rsid w:val="00290505"/>
    <w:rsid w:val="00290D7D"/>
    <w:rsid w:val="00292D0D"/>
    <w:rsid w:val="0029405C"/>
    <w:rsid w:val="00294217"/>
    <w:rsid w:val="00294559"/>
    <w:rsid w:val="00295DF8"/>
    <w:rsid w:val="00296592"/>
    <w:rsid w:val="00296EEA"/>
    <w:rsid w:val="0029790A"/>
    <w:rsid w:val="00297D20"/>
    <w:rsid w:val="002A217E"/>
    <w:rsid w:val="002A4A40"/>
    <w:rsid w:val="002A6110"/>
    <w:rsid w:val="002A6BC7"/>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51E9"/>
    <w:rsid w:val="002C5749"/>
    <w:rsid w:val="002C57C5"/>
    <w:rsid w:val="002C5E50"/>
    <w:rsid w:val="002C6CED"/>
    <w:rsid w:val="002C70AE"/>
    <w:rsid w:val="002C75CC"/>
    <w:rsid w:val="002D0EE3"/>
    <w:rsid w:val="002D17D4"/>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B0"/>
    <w:rsid w:val="002E7D4B"/>
    <w:rsid w:val="002E7EDA"/>
    <w:rsid w:val="002E7FD8"/>
    <w:rsid w:val="002F2AC3"/>
    <w:rsid w:val="002F33C1"/>
    <w:rsid w:val="002F4CE8"/>
    <w:rsid w:val="002F521C"/>
    <w:rsid w:val="002F6153"/>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B34"/>
    <w:rsid w:val="00310C23"/>
    <w:rsid w:val="00310CBC"/>
    <w:rsid w:val="003140CE"/>
    <w:rsid w:val="00315362"/>
    <w:rsid w:val="00315A2D"/>
    <w:rsid w:val="00316601"/>
    <w:rsid w:val="00317665"/>
    <w:rsid w:val="0031772C"/>
    <w:rsid w:val="003205BF"/>
    <w:rsid w:val="0032069E"/>
    <w:rsid w:val="0032092E"/>
    <w:rsid w:val="00320DED"/>
    <w:rsid w:val="00320E27"/>
    <w:rsid w:val="003245F8"/>
    <w:rsid w:val="00324641"/>
    <w:rsid w:val="003270B0"/>
    <w:rsid w:val="003319D9"/>
    <w:rsid w:val="00331BCE"/>
    <w:rsid w:val="0033292C"/>
    <w:rsid w:val="00332D8E"/>
    <w:rsid w:val="00333AD7"/>
    <w:rsid w:val="00333E63"/>
    <w:rsid w:val="003353AA"/>
    <w:rsid w:val="00336356"/>
    <w:rsid w:val="00336821"/>
    <w:rsid w:val="00336B45"/>
    <w:rsid w:val="00336CE1"/>
    <w:rsid w:val="00342303"/>
    <w:rsid w:val="00342D48"/>
    <w:rsid w:val="0034313F"/>
    <w:rsid w:val="0034364E"/>
    <w:rsid w:val="00343675"/>
    <w:rsid w:val="00343E61"/>
    <w:rsid w:val="00345902"/>
    <w:rsid w:val="00345BFC"/>
    <w:rsid w:val="00345CCD"/>
    <w:rsid w:val="00346493"/>
    <w:rsid w:val="00350C14"/>
    <w:rsid w:val="00351C0C"/>
    <w:rsid w:val="00353718"/>
    <w:rsid w:val="00353CC8"/>
    <w:rsid w:val="00355F81"/>
    <w:rsid w:val="0035660F"/>
    <w:rsid w:val="00356C5B"/>
    <w:rsid w:val="003573A6"/>
    <w:rsid w:val="00357931"/>
    <w:rsid w:val="00361597"/>
    <w:rsid w:val="00361D81"/>
    <w:rsid w:val="00363D2F"/>
    <w:rsid w:val="00364289"/>
    <w:rsid w:val="0036458C"/>
    <w:rsid w:val="00364831"/>
    <w:rsid w:val="00364EB5"/>
    <w:rsid w:val="0036650F"/>
    <w:rsid w:val="0036659F"/>
    <w:rsid w:val="00366685"/>
    <w:rsid w:val="003700FB"/>
    <w:rsid w:val="003713BD"/>
    <w:rsid w:val="003723C0"/>
    <w:rsid w:val="0037253E"/>
    <w:rsid w:val="00374333"/>
    <w:rsid w:val="003759BA"/>
    <w:rsid w:val="00376A48"/>
    <w:rsid w:val="00377210"/>
    <w:rsid w:val="0038176D"/>
    <w:rsid w:val="003817B3"/>
    <w:rsid w:val="0038297D"/>
    <w:rsid w:val="00382B91"/>
    <w:rsid w:val="003830DE"/>
    <w:rsid w:val="0038343B"/>
    <w:rsid w:val="00384C16"/>
    <w:rsid w:val="00385836"/>
    <w:rsid w:val="00386E53"/>
    <w:rsid w:val="00387089"/>
    <w:rsid w:val="003872A2"/>
    <w:rsid w:val="003903C3"/>
    <w:rsid w:val="003905DB"/>
    <w:rsid w:val="0039087A"/>
    <w:rsid w:val="003912F1"/>
    <w:rsid w:val="0039244A"/>
    <w:rsid w:val="00392A9C"/>
    <w:rsid w:val="00392BA2"/>
    <w:rsid w:val="0039315A"/>
    <w:rsid w:val="003931F6"/>
    <w:rsid w:val="00393B6D"/>
    <w:rsid w:val="00393BF2"/>
    <w:rsid w:val="003947B5"/>
    <w:rsid w:val="00394C1D"/>
    <w:rsid w:val="003962AB"/>
    <w:rsid w:val="003A0FC9"/>
    <w:rsid w:val="003A1A95"/>
    <w:rsid w:val="003A25A3"/>
    <w:rsid w:val="003A415B"/>
    <w:rsid w:val="003A6101"/>
    <w:rsid w:val="003A7044"/>
    <w:rsid w:val="003B0385"/>
    <w:rsid w:val="003B09EF"/>
    <w:rsid w:val="003B138B"/>
    <w:rsid w:val="003B19B8"/>
    <w:rsid w:val="003B1ACA"/>
    <w:rsid w:val="003B4B4B"/>
    <w:rsid w:val="003B5FA8"/>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C4A"/>
    <w:rsid w:val="003D3D3C"/>
    <w:rsid w:val="003D4311"/>
    <w:rsid w:val="003D711F"/>
    <w:rsid w:val="003D7C98"/>
    <w:rsid w:val="003D7DB9"/>
    <w:rsid w:val="003E286B"/>
    <w:rsid w:val="003E3801"/>
    <w:rsid w:val="003E4240"/>
    <w:rsid w:val="003E4970"/>
    <w:rsid w:val="003E51FD"/>
    <w:rsid w:val="003E6188"/>
    <w:rsid w:val="003E6795"/>
    <w:rsid w:val="003E700A"/>
    <w:rsid w:val="003E721A"/>
    <w:rsid w:val="003E73B9"/>
    <w:rsid w:val="003E7E70"/>
    <w:rsid w:val="003F0482"/>
    <w:rsid w:val="003F2B51"/>
    <w:rsid w:val="003F2FE9"/>
    <w:rsid w:val="003F3F02"/>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E38"/>
    <w:rsid w:val="004073B1"/>
    <w:rsid w:val="00407B5F"/>
    <w:rsid w:val="00410121"/>
    <w:rsid w:val="00410AA4"/>
    <w:rsid w:val="0041123D"/>
    <w:rsid w:val="00411958"/>
    <w:rsid w:val="00411CAA"/>
    <w:rsid w:val="0041308E"/>
    <w:rsid w:val="004142F2"/>
    <w:rsid w:val="004148C7"/>
    <w:rsid w:val="00415378"/>
    <w:rsid w:val="0042017D"/>
    <w:rsid w:val="0042264D"/>
    <w:rsid w:val="0042276C"/>
    <w:rsid w:val="00422E64"/>
    <w:rsid w:val="0042343D"/>
    <w:rsid w:val="004248D4"/>
    <w:rsid w:val="00424BD6"/>
    <w:rsid w:val="00425124"/>
    <w:rsid w:val="00427ADD"/>
    <w:rsid w:val="00427FC8"/>
    <w:rsid w:val="00430154"/>
    <w:rsid w:val="004307BD"/>
    <w:rsid w:val="00433DE1"/>
    <w:rsid w:val="004347B4"/>
    <w:rsid w:val="0043499E"/>
    <w:rsid w:val="004368B1"/>
    <w:rsid w:val="00441D1D"/>
    <w:rsid w:val="00442E9B"/>
    <w:rsid w:val="00444018"/>
    <w:rsid w:val="004444EB"/>
    <w:rsid w:val="004455C4"/>
    <w:rsid w:val="00446FC4"/>
    <w:rsid w:val="00450710"/>
    <w:rsid w:val="00451EB4"/>
    <w:rsid w:val="0045295B"/>
    <w:rsid w:val="004545EF"/>
    <w:rsid w:val="0045519A"/>
    <w:rsid w:val="00455A98"/>
    <w:rsid w:val="00456E9C"/>
    <w:rsid w:val="0045712A"/>
    <w:rsid w:val="004619AC"/>
    <w:rsid w:val="00461EF7"/>
    <w:rsid w:val="00463D87"/>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E26"/>
    <w:rsid w:val="00474FAE"/>
    <w:rsid w:val="004761A8"/>
    <w:rsid w:val="004762F4"/>
    <w:rsid w:val="00476EDE"/>
    <w:rsid w:val="00477C7C"/>
    <w:rsid w:val="004803BD"/>
    <w:rsid w:val="00482657"/>
    <w:rsid w:val="004827A1"/>
    <w:rsid w:val="00483345"/>
    <w:rsid w:val="004833D7"/>
    <w:rsid w:val="004840EF"/>
    <w:rsid w:val="004867BF"/>
    <w:rsid w:val="00492E1B"/>
    <w:rsid w:val="004937EF"/>
    <w:rsid w:val="00493ADF"/>
    <w:rsid w:val="00495ABD"/>
    <w:rsid w:val="00496C0B"/>
    <w:rsid w:val="00496E0E"/>
    <w:rsid w:val="004975C9"/>
    <w:rsid w:val="004A0F88"/>
    <w:rsid w:val="004A1085"/>
    <w:rsid w:val="004A110C"/>
    <w:rsid w:val="004A28D9"/>
    <w:rsid w:val="004A383B"/>
    <w:rsid w:val="004A4485"/>
    <w:rsid w:val="004A4EDF"/>
    <w:rsid w:val="004A535A"/>
    <w:rsid w:val="004A7E2A"/>
    <w:rsid w:val="004B0753"/>
    <w:rsid w:val="004B0F3C"/>
    <w:rsid w:val="004B152E"/>
    <w:rsid w:val="004B2956"/>
    <w:rsid w:val="004B2D52"/>
    <w:rsid w:val="004B2F82"/>
    <w:rsid w:val="004B3550"/>
    <w:rsid w:val="004B5849"/>
    <w:rsid w:val="004B724D"/>
    <w:rsid w:val="004C03F2"/>
    <w:rsid w:val="004C1308"/>
    <w:rsid w:val="004C18EA"/>
    <w:rsid w:val="004C1949"/>
    <w:rsid w:val="004C1D9B"/>
    <w:rsid w:val="004C25DA"/>
    <w:rsid w:val="004C2842"/>
    <w:rsid w:val="004C4F00"/>
    <w:rsid w:val="004C5E7F"/>
    <w:rsid w:val="004C64E0"/>
    <w:rsid w:val="004C6D1A"/>
    <w:rsid w:val="004C6F22"/>
    <w:rsid w:val="004C7891"/>
    <w:rsid w:val="004C7C19"/>
    <w:rsid w:val="004D13D0"/>
    <w:rsid w:val="004D1BD4"/>
    <w:rsid w:val="004D1C28"/>
    <w:rsid w:val="004D43C9"/>
    <w:rsid w:val="004D6B7D"/>
    <w:rsid w:val="004D6B98"/>
    <w:rsid w:val="004E0436"/>
    <w:rsid w:val="004E1096"/>
    <w:rsid w:val="004E157C"/>
    <w:rsid w:val="004E23FF"/>
    <w:rsid w:val="004E4072"/>
    <w:rsid w:val="004E40AE"/>
    <w:rsid w:val="004E4238"/>
    <w:rsid w:val="004E4FBF"/>
    <w:rsid w:val="004E5B52"/>
    <w:rsid w:val="004E631E"/>
    <w:rsid w:val="004E6344"/>
    <w:rsid w:val="004F0315"/>
    <w:rsid w:val="004F03B7"/>
    <w:rsid w:val="004F040D"/>
    <w:rsid w:val="004F2059"/>
    <w:rsid w:val="004F3678"/>
    <w:rsid w:val="004F3C65"/>
    <w:rsid w:val="004F4A10"/>
    <w:rsid w:val="004F4E88"/>
    <w:rsid w:val="004F5939"/>
    <w:rsid w:val="004F7654"/>
    <w:rsid w:val="004F7C79"/>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2FD"/>
    <w:rsid w:val="00515C39"/>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31F22"/>
    <w:rsid w:val="00532036"/>
    <w:rsid w:val="005349D5"/>
    <w:rsid w:val="00535C0F"/>
    <w:rsid w:val="00536D6C"/>
    <w:rsid w:val="00537013"/>
    <w:rsid w:val="00537B9E"/>
    <w:rsid w:val="00537DB4"/>
    <w:rsid w:val="00540322"/>
    <w:rsid w:val="00542823"/>
    <w:rsid w:val="00544D97"/>
    <w:rsid w:val="005454D6"/>
    <w:rsid w:val="00545A4E"/>
    <w:rsid w:val="00545F17"/>
    <w:rsid w:val="0054703E"/>
    <w:rsid w:val="005478DF"/>
    <w:rsid w:val="005522F1"/>
    <w:rsid w:val="005525C8"/>
    <w:rsid w:val="00556310"/>
    <w:rsid w:val="00556B8F"/>
    <w:rsid w:val="005575C3"/>
    <w:rsid w:val="00560401"/>
    <w:rsid w:val="00565BBB"/>
    <w:rsid w:val="00566100"/>
    <w:rsid w:val="00567661"/>
    <w:rsid w:val="005711EE"/>
    <w:rsid w:val="00571237"/>
    <w:rsid w:val="00571B88"/>
    <w:rsid w:val="00572182"/>
    <w:rsid w:val="00572C01"/>
    <w:rsid w:val="00572DB0"/>
    <w:rsid w:val="00573723"/>
    <w:rsid w:val="005749E3"/>
    <w:rsid w:val="005749EE"/>
    <w:rsid w:val="00575715"/>
    <w:rsid w:val="00575C8D"/>
    <w:rsid w:val="00576FB2"/>
    <w:rsid w:val="00580DDD"/>
    <w:rsid w:val="00580E95"/>
    <w:rsid w:val="0058188E"/>
    <w:rsid w:val="00581B0F"/>
    <w:rsid w:val="005822D0"/>
    <w:rsid w:val="0058293C"/>
    <w:rsid w:val="00583313"/>
    <w:rsid w:val="00583BC5"/>
    <w:rsid w:val="00583F97"/>
    <w:rsid w:val="005847CF"/>
    <w:rsid w:val="0058548F"/>
    <w:rsid w:val="00585546"/>
    <w:rsid w:val="005867D6"/>
    <w:rsid w:val="0058726E"/>
    <w:rsid w:val="00591541"/>
    <w:rsid w:val="005916BF"/>
    <w:rsid w:val="00591C0B"/>
    <w:rsid w:val="00593D95"/>
    <w:rsid w:val="00594CA8"/>
    <w:rsid w:val="00595263"/>
    <w:rsid w:val="005964E0"/>
    <w:rsid w:val="00596CFD"/>
    <w:rsid w:val="0059742D"/>
    <w:rsid w:val="00597E77"/>
    <w:rsid w:val="005A052B"/>
    <w:rsid w:val="005A209B"/>
    <w:rsid w:val="005A2850"/>
    <w:rsid w:val="005A33AD"/>
    <w:rsid w:val="005A42CF"/>
    <w:rsid w:val="005A4387"/>
    <w:rsid w:val="005A45A2"/>
    <w:rsid w:val="005A5D09"/>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5233"/>
    <w:rsid w:val="005C2D8F"/>
    <w:rsid w:val="005C3D8F"/>
    <w:rsid w:val="005C4181"/>
    <w:rsid w:val="005C56CB"/>
    <w:rsid w:val="005C5B21"/>
    <w:rsid w:val="005C612F"/>
    <w:rsid w:val="005D0714"/>
    <w:rsid w:val="005D0805"/>
    <w:rsid w:val="005D0979"/>
    <w:rsid w:val="005D10E6"/>
    <w:rsid w:val="005D14FA"/>
    <w:rsid w:val="005D21F7"/>
    <w:rsid w:val="005D47CE"/>
    <w:rsid w:val="005D4C61"/>
    <w:rsid w:val="005D5305"/>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3181"/>
    <w:rsid w:val="00605CC5"/>
    <w:rsid w:val="00606765"/>
    <w:rsid w:val="006067A7"/>
    <w:rsid w:val="006073DB"/>
    <w:rsid w:val="00610239"/>
    <w:rsid w:val="006109C1"/>
    <w:rsid w:val="00611EE2"/>
    <w:rsid w:val="00612A08"/>
    <w:rsid w:val="00612ED5"/>
    <w:rsid w:val="0062099B"/>
    <w:rsid w:val="00620B02"/>
    <w:rsid w:val="00622AB5"/>
    <w:rsid w:val="00623E90"/>
    <w:rsid w:val="0062508F"/>
    <w:rsid w:val="00625350"/>
    <w:rsid w:val="0062586E"/>
    <w:rsid w:val="006265D4"/>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5BAB"/>
    <w:rsid w:val="006568C9"/>
    <w:rsid w:val="00657419"/>
    <w:rsid w:val="00661C67"/>
    <w:rsid w:val="00662918"/>
    <w:rsid w:val="00663499"/>
    <w:rsid w:val="0066577C"/>
    <w:rsid w:val="006664DE"/>
    <w:rsid w:val="0066652C"/>
    <w:rsid w:val="006668DB"/>
    <w:rsid w:val="00666F0C"/>
    <w:rsid w:val="00667978"/>
    <w:rsid w:val="00667B79"/>
    <w:rsid w:val="00670C83"/>
    <w:rsid w:val="006730ED"/>
    <w:rsid w:val="00673D22"/>
    <w:rsid w:val="0067554F"/>
    <w:rsid w:val="00675633"/>
    <w:rsid w:val="00675A4E"/>
    <w:rsid w:val="006765B2"/>
    <w:rsid w:val="00676907"/>
    <w:rsid w:val="00676A4B"/>
    <w:rsid w:val="00676AD6"/>
    <w:rsid w:val="00680407"/>
    <w:rsid w:val="0068097A"/>
    <w:rsid w:val="00681155"/>
    <w:rsid w:val="006817B6"/>
    <w:rsid w:val="00681803"/>
    <w:rsid w:val="00681959"/>
    <w:rsid w:val="0068356E"/>
    <w:rsid w:val="00684C9A"/>
    <w:rsid w:val="006851D7"/>
    <w:rsid w:val="006857BA"/>
    <w:rsid w:val="00686579"/>
    <w:rsid w:val="006867F8"/>
    <w:rsid w:val="006905A7"/>
    <w:rsid w:val="00690651"/>
    <w:rsid w:val="00690BC8"/>
    <w:rsid w:val="00692335"/>
    <w:rsid w:val="006927A9"/>
    <w:rsid w:val="0069322E"/>
    <w:rsid w:val="00693DDC"/>
    <w:rsid w:val="006947DC"/>
    <w:rsid w:val="006949ED"/>
    <w:rsid w:val="00694C23"/>
    <w:rsid w:val="00695B20"/>
    <w:rsid w:val="00695FBD"/>
    <w:rsid w:val="0069630E"/>
    <w:rsid w:val="00696928"/>
    <w:rsid w:val="006978DA"/>
    <w:rsid w:val="006A0BE7"/>
    <w:rsid w:val="006A0E6D"/>
    <w:rsid w:val="006A14D0"/>
    <w:rsid w:val="006A18E8"/>
    <w:rsid w:val="006A27D0"/>
    <w:rsid w:val="006A2A4F"/>
    <w:rsid w:val="006B1810"/>
    <w:rsid w:val="006B2719"/>
    <w:rsid w:val="006B2832"/>
    <w:rsid w:val="006B4E1A"/>
    <w:rsid w:val="006B5310"/>
    <w:rsid w:val="006B5556"/>
    <w:rsid w:val="006B634B"/>
    <w:rsid w:val="006B7154"/>
    <w:rsid w:val="006B7A5D"/>
    <w:rsid w:val="006B7AB7"/>
    <w:rsid w:val="006C1E63"/>
    <w:rsid w:val="006C2149"/>
    <w:rsid w:val="006C2199"/>
    <w:rsid w:val="006C284D"/>
    <w:rsid w:val="006C3446"/>
    <w:rsid w:val="006C5329"/>
    <w:rsid w:val="006C6DFC"/>
    <w:rsid w:val="006D0192"/>
    <w:rsid w:val="006D03C7"/>
    <w:rsid w:val="006D187A"/>
    <w:rsid w:val="006D3AAF"/>
    <w:rsid w:val="006D3B14"/>
    <w:rsid w:val="006D519E"/>
    <w:rsid w:val="006D51D9"/>
    <w:rsid w:val="006D5636"/>
    <w:rsid w:val="006D57FC"/>
    <w:rsid w:val="006D5C04"/>
    <w:rsid w:val="006D73C9"/>
    <w:rsid w:val="006D7724"/>
    <w:rsid w:val="006D7775"/>
    <w:rsid w:val="006D7B18"/>
    <w:rsid w:val="006E033D"/>
    <w:rsid w:val="006E2032"/>
    <w:rsid w:val="006E2355"/>
    <w:rsid w:val="006E23CC"/>
    <w:rsid w:val="006E2A8F"/>
    <w:rsid w:val="006E2E6C"/>
    <w:rsid w:val="006E3F99"/>
    <w:rsid w:val="006E41E4"/>
    <w:rsid w:val="006E5431"/>
    <w:rsid w:val="006E645F"/>
    <w:rsid w:val="006E7198"/>
    <w:rsid w:val="006E7243"/>
    <w:rsid w:val="006E798A"/>
    <w:rsid w:val="006F0697"/>
    <w:rsid w:val="006F2783"/>
    <w:rsid w:val="006F30C1"/>
    <w:rsid w:val="006F5BFD"/>
    <w:rsid w:val="006F6DA7"/>
    <w:rsid w:val="006F7337"/>
    <w:rsid w:val="006F767F"/>
    <w:rsid w:val="007003D9"/>
    <w:rsid w:val="0070066F"/>
    <w:rsid w:val="00701954"/>
    <w:rsid w:val="00702D9F"/>
    <w:rsid w:val="00703134"/>
    <w:rsid w:val="00703156"/>
    <w:rsid w:val="007035A1"/>
    <w:rsid w:val="00704246"/>
    <w:rsid w:val="00705A6C"/>
    <w:rsid w:val="00707352"/>
    <w:rsid w:val="007078F8"/>
    <w:rsid w:val="007120C2"/>
    <w:rsid w:val="00713045"/>
    <w:rsid w:val="00715552"/>
    <w:rsid w:val="00717DA3"/>
    <w:rsid w:val="00717DD7"/>
    <w:rsid w:val="007206A9"/>
    <w:rsid w:val="00720B58"/>
    <w:rsid w:val="00722912"/>
    <w:rsid w:val="007233C0"/>
    <w:rsid w:val="00723F00"/>
    <w:rsid w:val="00724163"/>
    <w:rsid w:val="00724779"/>
    <w:rsid w:val="007255E2"/>
    <w:rsid w:val="00725CE3"/>
    <w:rsid w:val="00726CAF"/>
    <w:rsid w:val="00727275"/>
    <w:rsid w:val="0072771C"/>
    <w:rsid w:val="0072771D"/>
    <w:rsid w:val="007277BE"/>
    <w:rsid w:val="00730EEF"/>
    <w:rsid w:val="007312BA"/>
    <w:rsid w:val="007325C9"/>
    <w:rsid w:val="00733DD2"/>
    <w:rsid w:val="00735247"/>
    <w:rsid w:val="007355BB"/>
    <w:rsid w:val="0073579B"/>
    <w:rsid w:val="00736999"/>
    <w:rsid w:val="00740FCD"/>
    <w:rsid w:val="007418DE"/>
    <w:rsid w:val="00742D32"/>
    <w:rsid w:val="00742F7D"/>
    <w:rsid w:val="00744664"/>
    <w:rsid w:val="007476D1"/>
    <w:rsid w:val="00750728"/>
    <w:rsid w:val="0075278D"/>
    <w:rsid w:val="00752A86"/>
    <w:rsid w:val="007535A5"/>
    <w:rsid w:val="00753965"/>
    <w:rsid w:val="00754FCC"/>
    <w:rsid w:val="00755C9B"/>
    <w:rsid w:val="00755E7F"/>
    <w:rsid w:val="00757692"/>
    <w:rsid w:val="00760B00"/>
    <w:rsid w:val="007620CB"/>
    <w:rsid w:val="0076219F"/>
    <w:rsid w:val="00762EE5"/>
    <w:rsid w:val="007633E7"/>
    <w:rsid w:val="007634B3"/>
    <w:rsid w:val="00763E4B"/>
    <w:rsid w:val="00764BF1"/>
    <w:rsid w:val="00766325"/>
    <w:rsid w:val="00767436"/>
    <w:rsid w:val="007721C8"/>
    <w:rsid w:val="00772933"/>
    <w:rsid w:val="00772CF7"/>
    <w:rsid w:val="00773327"/>
    <w:rsid w:val="00773453"/>
    <w:rsid w:val="0077402E"/>
    <w:rsid w:val="007746D9"/>
    <w:rsid w:val="00774B0F"/>
    <w:rsid w:val="00775D48"/>
    <w:rsid w:val="00776E5F"/>
    <w:rsid w:val="007773DD"/>
    <w:rsid w:val="0077744A"/>
    <w:rsid w:val="00780B1A"/>
    <w:rsid w:val="00780D11"/>
    <w:rsid w:val="00781600"/>
    <w:rsid w:val="00783873"/>
    <w:rsid w:val="007839C9"/>
    <w:rsid w:val="00783C46"/>
    <w:rsid w:val="007848AC"/>
    <w:rsid w:val="007863AA"/>
    <w:rsid w:val="0078690F"/>
    <w:rsid w:val="00787E77"/>
    <w:rsid w:val="00790CD7"/>
    <w:rsid w:val="0079284E"/>
    <w:rsid w:val="007963A1"/>
    <w:rsid w:val="00796982"/>
    <w:rsid w:val="00796AB0"/>
    <w:rsid w:val="00796B09"/>
    <w:rsid w:val="00797C1E"/>
    <w:rsid w:val="00797EA8"/>
    <w:rsid w:val="007A01F7"/>
    <w:rsid w:val="007A0F39"/>
    <w:rsid w:val="007A2F87"/>
    <w:rsid w:val="007A3A44"/>
    <w:rsid w:val="007A3A9A"/>
    <w:rsid w:val="007A4843"/>
    <w:rsid w:val="007A536C"/>
    <w:rsid w:val="007A5A68"/>
    <w:rsid w:val="007A6602"/>
    <w:rsid w:val="007A71D6"/>
    <w:rsid w:val="007A76ED"/>
    <w:rsid w:val="007B004A"/>
    <w:rsid w:val="007B0EB3"/>
    <w:rsid w:val="007B11FE"/>
    <w:rsid w:val="007B157B"/>
    <w:rsid w:val="007B1CC4"/>
    <w:rsid w:val="007B2FC9"/>
    <w:rsid w:val="007B4FF2"/>
    <w:rsid w:val="007B542C"/>
    <w:rsid w:val="007B5BAD"/>
    <w:rsid w:val="007B6C18"/>
    <w:rsid w:val="007B7377"/>
    <w:rsid w:val="007C0763"/>
    <w:rsid w:val="007C0D64"/>
    <w:rsid w:val="007C25DE"/>
    <w:rsid w:val="007C3015"/>
    <w:rsid w:val="007C36CF"/>
    <w:rsid w:val="007C3879"/>
    <w:rsid w:val="007C3B73"/>
    <w:rsid w:val="007C3F8A"/>
    <w:rsid w:val="007C4A77"/>
    <w:rsid w:val="007C546F"/>
    <w:rsid w:val="007C6121"/>
    <w:rsid w:val="007C7441"/>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47C0"/>
    <w:rsid w:val="007E5BD8"/>
    <w:rsid w:val="007E6372"/>
    <w:rsid w:val="007E738C"/>
    <w:rsid w:val="007E741E"/>
    <w:rsid w:val="007E7C58"/>
    <w:rsid w:val="007F2551"/>
    <w:rsid w:val="007F34EE"/>
    <w:rsid w:val="007F49E7"/>
    <w:rsid w:val="007F6A63"/>
    <w:rsid w:val="007F731B"/>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4D69"/>
    <w:rsid w:val="00845B87"/>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4056"/>
    <w:rsid w:val="00864557"/>
    <w:rsid w:val="0086482E"/>
    <w:rsid w:val="008649C9"/>
    <w:rsid w:val="00864F82"/>
    <w:rsid w:val="00870F1B"/>
    <w:rsid w:val="008731E3"/>
    <w:rsid w:val="00873893"/>
    <w:rsid w:val="008742B6"/>
    <w:rsid w:val="00874718"/>
    <w:rsid w:val="008758B7"/>
    <w:rsid w:val="00876363"/>
    <w:rsid w:val="008778C7"/>
    <w:rsid w:val="00877F65"/>
    <w:rsid w:val="0088057A"/>
    <w:rsid w:val="00880885"/>
    <w:rsid w:val="00882ABD"/>
    <w:rsid w:val="008831C3"/>
    <w:rsid w:val="008840D3"/>
    <w:rsid w:val="0088484F"/>
    <w:rsid w:val="00884A84"/>
    <w:rsid w:val="00884FE6"/>
    <w:rsid w:val="00887960"/>
    <w:rsid w:val="00891BA0"/>
    <w:rsid w:val="00891E82"/>
    <w:rsid w:val="00893571"/>
    <w:rsid w:val="00893675"/>
    <w:rsid w:val="00894411"/>
    <w:rsid w:val="008965BE"/>
    <w:rsid w:val="00896968"/>
    <w:rsid w:val="00896FF1"/>
    <w:rsid w:val="008A052D"/>
    <w:rsid w:val="008A2036"/>
    <w:rsid w:val="008A4361"/>
    <w:rsid w:val="008A6443"/>
    <w:rsid w:val="008B0950"/>
    <w:rsid w:val="008B0B3D"/>
    <w:rsid w:val="008B1533"/>
    <w:rsid w:val="008B21E3"/>
    <w:rsid w:val="008B4611"/>
    <w:rsid w:val="008B4DED"/>
    <w:rsid w:val="008B60B3"/>
    <w:rsid w:val="008B62FC"/>
    <w:rsid w:val="008B7D78"/>
    <w:rsid w:val="008C00D7"/>
    <w:rsid w:val="008C0381"/>
    <w:rsid w:val="008C048B"/>
    <w:rsid w:val="008C048D"/>
    <w:rsid w:val="008C07D3"/>
    <w:rsid w:val="008C231E"/>
    <w:rsid w:val="008C3493"/>
    <w:rsid w:val="008C426D"/>
    <w:rsid w:val="008C484F"/>
    <w:rsid w:val="008C48FF"/>
    <w:rsid w:val="008C6EF2"/>
    <w:rsid w:val="008C70D3"/>
    <w:rsid w:val="008D174B"/>
    <w:rsid w:val="008D35CF"/>
    <w:rsid w:val="008D5D46"/>
    <w:rsid w:val="008D6B8E"/>
    <w:rsid w:val="008E10A3"/>
    <w:rsid w:val="008E1327"/>
    <w:rsid w:val="008E1AED"/>
    <w:rsid w:val="008E3D29"/>
    <w:rsid w:val="008E4ADB"/>
    <w:rsid w:val="008E4EE0"/>
    <w:rsid w:val="008E51DB"/>
    <w:rsid w:val="008E5CB8"/>
    <w:rsid w:val="008E7207"/>
    <w:rsid w:val="008E7364"/>
    <w:rsid w:val="008E743C"/>
    <w:rsid w:val="008E7620"/>
    <w:rsid w:val="008E7700"/>
    <w:rsid w:val="008E7E5B"/>
    <w:rsid w:val="008F0C48"/>
    <w:rsid w:val="008F0F99"/>
    <w:rsid w:val="008F454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52B"/>
    <w:rsid w:val="00924DF3"/>
    <w:rsid w:val="009270AB"/>
    <w:rsid w:val="009275B2"/>
    <w:rsid w:val="00927DD3"/>
    <w:rsid w:val="00931449"/>
    <w:rsid w:val="00932609"/>
    <w:rsid w:val="009329C6"/>
    <w:rsid w:val="00933106"/>
    <w:rsid w:val="00937CEA"/>
    <w:rsid w:val="00937D48"/>
    <w:rsid w:val="009415A0"/>
    <w:rsid w:val="00941EA3"/>
    <w:rsid w:val="00942B51"/>
    <w:rsid w:val="00942F72"/>
    <w:rsid w:val="009437E9"/>
    <w:rsid w:val="00943D86"/>
    <w:rsid w:val="00944488"/>
    <w:rsid w:val="0094455C"/>
    <w:rsid w:val="00944F46"/>
    <w:rsid w:val="009451E4"/>
    <w:rsid w:val="00946705"/>
    <w:rsid w:val="009470B4"/>
    <w:rsid w:val="00951F96"/>
    <w:rsid w:val="009528B0"/>
    <w:rsid w:val="00952954"/>
    <w:rsid w:val="00952D30"/>
    <w:rsid w:val="009533EE"/>
    <w:rsid w:val="00954312"/>
    <w:rsid w:val="00955A11"/>
    <w:rsid w:val="00955BDC"/>
    <w:rsid w:val="009565D5"/>
    <w:rsid w:val="00957A39"/>
    <w:rsid w:val="009601F6"/>
    <w:rsid w:val="00963555"/>
    <w:rsid w:val="00964E41"/>
    <w:rsid w:val="00965482"/>
    <w:rsid w:val="00966E12"/>
    <w:rsid w:val="0097080E"/>
    <w:rsid w:val="0097148E"/>
    <w:rsid w:val="00972F97"/>
    <w:rsid w:val="00973D84"/>
    <w:rsid w:val="0097615B"/>
    <w:rsid w:val="00976565"/>
    <w:rsid w:val="0097762E"/>
    <w:rsid w:val="0097770D"/>
    <w:rsid w:val="00977EE8"/>
    <w:rsid w:val="009818D0"/>
    <w:rsid w:val="009827DF"/>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3885"/>
    <w:rsid w:val="009A4D99"/>
    <w:rsid w:val="009A64A6"/>
    <w:rsid w:val="009A7615"/>
    <w:rsid w:val="009A7B48"/>
    <w:rsid w:val="009B0524"/>
    <w:rsid w:val="009B21E5"/>
    <w:rsid w:val="009B2732"/>
    <w:rsid w:val="009B29B0"/>
    <w:rsid w:val="009B369B"/>
    <w:rsid w:val="009B3F69"/>
    <w:rsid w:val="009B46AF"/>
    <w:rsid w:val="009B5564"/>
    <w:rsid w:val="009B5595"/>
    <w:rsid w:val="009B5B7B"/>
    <w:rsid w:val="009C016F"/>
    <w:rsid w:val="009C019A"/>
    <w:rsid w:val="009C06CA"/>
    <w:rsid w:val="009C07A2"/>
    <w:rsid w:val="009C1A1E"/>
    <w:rsid w:val="009C2225"/>
    <w:rsid w:val="009C3527"/>
    <w:rsid w:val="009C36B1"/>
    <w:rsid w:val="009C3AB8"/>
    <w:rsid w:val="009C45E3"/>
    <w:rsid w:val="009C5CB9"/>
    <w:rsid w:val="009C6A63"/>
    <w:rsid w:val="009C7D32"/>
    <w:rsid w:val="009D00CE"/>
    <w:rsid w:val="009D0F2B"/>
    <w:rsid w:val="009D18FB"/>
    <w:rsid w:val="009D1BEE"/>
    <w:rsid w:val="009D3157"/>
    <w:rsid w:val="009D6409"/>
    <w:rsid w:val="009E10C0"/>
    <w:rsid w:val="009E1A5A"/>
    <w:rsid w:val="009E321A"/>
    <w:rsid w:val="009E4F9D"/>
    <w:rsid w:val="009E53F7"/>
    <w:rsid w:val="009E58F3"/>
    <w:rsid w:val="009E5DE7"/>
    <w:rsid w:val="009E6C0E"/>
    <w:rsid w:val="009E6C37"/>
    <w:rsid w:val="009E7FFB"/>
    <w:rsid w:val="009F1565"/>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A00E89"/>
    <w:rsid w:val="00A00FA9"/>
    <w:rsid w:val="00A02285"/>
    <w:rsid w:val="00A02687"/>
    <w:rsid w:val="00A0309E"/>
    <w:rsid w:val="00A0408D"/>
    <w:rsid w:val="00A05777"/>
    <w:rsid w:val="00A05980"/>
    <w:rsid w:val="00A06B1E"/>
    <w:rsid w:val="00A0707D"/>
    <w:rsid w:val="00A071D6"/>
    <w:rsid w:val="00A10040"/>
    <w:rsid w:val="00A13200"/>
    <w:rsid w:val="00A1329C"/>
    <w:rsid w:val="00A156DC"/>
    <w:rsid w:val="00A168CC"/>
    <w:rsid w:val="00A169E2"/>
    <w:rsid w:val="00A2076F"/>
    <w:rsid w:val="00A21C64"/>
    <w:rsid w:val="00A22178"/>
    <w:rsid w:val="00A22C84"/>
    <w:rsid w:val="00A22FD7"/>
    <w:rsid w:val="00A23448"/>
    <w:rsid w:val="00A237AF"/>
    <w:rsid w:val="00A24C2F"/>
    <w:rsid w:val="00A263BB"/>
    <w:rsid w:val="00A2745C"/>
    <w:rsid w:val="00A27FAF"/>
    <w:rsid w:val="00A31705"/>
    <w:rsid w:val="00A3345D"/>
    <w:rsid w:val="00A33E1C"/>
    <w:rsid w:val="00A34F9C"/>
    <w:rsid w:val="00A36D95"/>
    <w:rsid w:val="00A37ED9"/>
    <w:rsid w:val="00A40ABE"/>
    <w:rsid w:val="00A41C36"/>
    <w:rsid w:val="00A42015"/>
    <w:rsid w:val="00A4227A"/>
    <w:rsid w:val="00A42823"/>
    <w:rsid w:val="00A4436C"/>
    <w:rsid w:val="00A44E26"/>
    <w:rsid w:val="00A45384"/>
    <w:rsid w:val="00A45F8B"/>
    <w:rsid w:val="00A4692D"/>
    <w:rsid w:val="00A5068C"/>
    <w:rsid w:val="00A50EA2"/>
    <w:rsid w:val="00A535E8"/>
    <w:rsid w:val="00A537A2"/>
    <w:rsid w:val="00A543F7"/>
    <w:rsid w:val="00A564A4"/>
    <w:rsid w:val="00A56832"/>
    <w:rsid w:val="00A57377"/>
    <w:rsid w:val="00A57724"/>
    <w:rsid w:val="00A6559F"/>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1ACC"/>
    <w:rsid w:val="00A81C5D"/>
    <w:rsid w:val="00A81C64"/>
    <w:rsid w:val="00A826F0"/>
    <w:rsid w:val="00A82B37"/>
    <w:rsid w:val="00A85320"/>
    <w:rsid w:val="00A85AC6"/>
    <w:rsid w:val="00A87A0F"/>
    <w:rsid w:val="00A87D60"/>
    <w:rsid w:val="00A9021B"/>
    <w:rsid w:val="00A90C36"/>
    <w:rsid w:val="00A94BA2"/>
    <w:rsid w:val="00A95EE1"/>
    <w:rsid w:val="00A97BB6"/>
    <w:rsid w:val="00A97F14"/>
    <w:rsid w:val="00AA0237"/>
    <w:rsid w:val="00AA03FC"/>
    <w:rsid w:val="00AA089B"/>
    <w:rsid w:val="00AA1625"/>
    <w:rsid w:val="00AA235E"/>
    <w:rsid w:val="00AA24EF"/>
    <w:rsid w:val="00AA31B7"/>
    <w:rsid w:val="00AA3C26"/>
    <w:rsid w:val="00AA58F5"/>
    <w:rsid w:val="00AA5A5A"/>
    <w:rsid w:val="00AA5C19"/>
    <w:rsid w:val="00AA5C41"/>
    <w:rsid w:val="00AA6EB6"/>
    <w:rsid w:val="00AA70F5"/>
    <w:rsid w:val="00AA7FDD"/>
    <w:rsid w:val="00AB024B"/>
    <w:rsid w:val="00AB1D71"/>
    <w:rsid w:val="00AB2DFF"/>
    <w:rsid w:val="00AB2F40"/>
    <w:rsid w:val="00AB2F6D"/>
    <w:rsid w:val="00AB407C"/>
    <w:rsid w:val="00AB4222"/>
    <w:rsid w:val="00AB4ED2"/>
    <w:rsid w:val="00AB518B"/>
    <w:rsid w:val="00AB6FE6"/>
    <w:rsid w:val="00AC2701"/>
    <w:rsid w:val="00AC2A84"/>
    <w:rsid w:val="00AC3423"/>
    <w:rsid w:val="00AC3897"/>
    <w:rsid w:val="00AC3F0E"/>
    <w:rsid w:val="00AC5F84"/>
    <w:rsid w:val="00AC7B94"/>
    <w:rsid w:val="00AD10E6"/>
    <w:rsid w:val="00AD34A8"/>
    <w:rsid w:val="00AD35F4"/>
    <w:rsid w:val="00AD373F"/>
    <w:rsid w:val="00AD4B18"/>
    <w:rsid w:val="00AD4C6D"/>
    <w:rsid w:val="00AD53C9"/>
    <w:rsid w:val="00AD6028"/>
    <w:rsid w:val="00AD6364"/>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2A6D"/>
    <w:rsid w:val="00AF4D14"/>
    <w:rsid w:val="00AF5536"/>
    <w:rsid w:val="00AF6592"/>
    <w:rsid w:val="00AF6C9F"/>
    <w:rsid w:val="00AF796F"/>
    <w:rsid w:val="00B01E6D"/>
    <w:rsid w:val="00B02975"/>
    <w:rsid w:val="00B03860"/>
    <w:rsid w:val="00B03E6C"/>
    <w:rsid w:val="00B046C5"/>
    <w:rsid w:val="00B04717"/>
    <w:rsid w:val="00B047E4"/>
    <w:rsid w:val="00B04FA4"/>
    <w:rsid w:val="00B05324"/>
    <w:rsid w:val="00B05BBE"/>
    <w:rsid w:val="00B05D15"/>
    <w:rsid w:val="00B0761F"/>
    <w:rsid w:val="00B12C66"/>
    <w:rsid w:val="00B13240"/>
    <w:rsid w:val="00B13874"/>
    <w:rsid w:val="00B1494C"/>
    <w:rsid w:val="00B14B3D"/>
    <w:rsid w:val="00B15D94"/>
    <w:rsid w:val="00B1668C"/>
    <w:rsid w:val="00B16DC7"/>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7E08"/>
    <w:rsid w:val="00B5017D"/>
    <w:rsid w:val="00B50D32"/>
    <w:rsid w:val="00B52008"/>
    <w:rsid w:val="00B53DAE"/>
    <w:rsid w:val="00B548CC"/>
    <w:rsid w:val="00B55697"/>
    <w:rsid w:val="00B56354"/>
    <w:rsid w:val="00B564FF"/>
    <w:rsid w:val="00B57934"/>
    <w:rsid w:val="00B57A54"/>
    <w:rsid w:val="00B57AA9"/>
    <w:rsid w:val="00B57C48"/>
    <w:rsid w:val="00B57DBF"/>
    <w:rsid w:val="00B6228F"/>
    <w:rsid w:val="00B62393"/>
    <w:rsid w:val="00B62455"/>
    <w:rsid w:val="00B624EE"/>
    <w:rsid w:val="00B63005"/>
    <w:rsid w:val="00B64F42"/>
    <w:rsid w:val="00B6532A"/>
    <w:rsid w:val="00B659DA"/>
    <w:rsid w:val="00B65BE8"/>
    <w:rsid w:val="00B67260"/>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A0C"/>
    <w:rsid w:val="00B8262E"/>
    <w:rsid w:val="00B83900"/>
    <w:rsid w:val="00B83FF3"/>
    <w:rsid w:val="00B84470"/>
    <w:rsid w:val="00B84936"/>
    <w:rsid w:val="00B84DE5"/>
    <w:rsid w:val="00B861C2"/>
    <w:rsid w:val="00B8648D"/>
    <w:rsid w:val="00B86A05"/>
    <w:rsid w:val="00B874C6"/>
    <w:rsid w:val="00B905F5"/>
    <w:rsid w:val="00B9289F"/>
    <w:rsid w:val="00B93758"/>
    <w:rsid w:val="00B93A1E"/>
    <w:rsid w:val="00B93F51"/>
    <w:rsid w:val="00B94149"/>
    <w:rsid w:val="00B94AC4"/>
    <w:rsid w:val="00B979C4"/>
    <w:rsid w:val="00B97E92"/>
    <w:rsid w:val="00BA037B"/>
    <w:rsid w:val="00BA06EF"/>
    <w:rsid w:val="00BA09CD"/>
    <w:rsid w:val="00BA131B"/>
    <w:rsid w:val="00BA2111"/>
    <w:rsid w:val="00BA232A"/>
    <w:rsid w:val="00BA4763"/>
    <w:rsid w:val="00BA4F8F"/>
    <w:rsid w:val="00BA59FE"/>
    <w:rsid w:val="00BA6086"/>
    <w:rsid w:val="00BA68A4"/>
    <w:rsid w:val="00BA6D6B"/>
    <w:rsid w:val="00BA7172"/>
    <w:rsid w:val="00BB0A99"/>
    <w:rsid w:val="00BB11A0"/>
    <w:rsid w:val="00BB42C1"/>
    <w:rsid w:val="00BB5BAE"/>
    <w:rsid w:val="00BB5FA4"/>
    <w:rsid w:val="00BB671F"/>
    <w:rsid w:val="00BC34A2"/>
    <w:rsid w:val="00BC3772"/>
    <w:rsid w:val="00BC3F1C"/>
    <w:rsid w:val="00BC67F0"/>
    <w:rsid w:val="00BC70EF"/>
    <w:rsid w:val="00BC7241"/>
    <w:rsid w:val="00BC7985"/>
    <w:rsid w:val="00BD0A12"/>
    <w:rsid w:val="00BD0BAD"/>
    <w:rsid w:val="00BD3117"/>
    <w:rsid w:val="00BD4D1D"/>
    <w:rsid w:val="00BD552F"/>
    <w:rsid w:val="00BD5569"/>
    <w:rsid w:val="00BD732E"/>
    <w:rsid w:val="00BD7368"/>
    <w:rsid w:val="00BD7A68"/>
    <w:rsid w:val="00BD7DB9"/>
    <w:rsid w:val="00BD7EAB"/>
    <w:rsid w:val="00BE01D5"/>
    <w:rsid w:val="00BE1A90"/>
    <w:rsid w:val="00BE1CAF"/>
    <w:rsid w:val="00BE240B"/>
    <w:rsid w:val="00BE2B2E"/>
    <w:rsid w:val="00BE39D9"/>
    <w:rsid w:val="00BE3D8B"/>
    <w:rsid w:val="00BE483E"/>
    <w:rsid w:val="00BE4A77"/>
    <w:rsid w:val="00BE5274"/>
    <w:rsid w:val="00BE62E9"/>
    <w:rsid w:val="00BE753D"/>
    <w:rsid w:val="00BE754A"/>
    <w:rsid w:val="00BF0973"/>
    <w:rsid w:val="00BF0EDD"/>
    <w:rsid w:val="00BF32BD"/>
    <w:rsid w:val="00BF4157"/>
    <w:rsid w:val="00BF4234"/>
    <w:rsid w:val="00BF601E"/>
    <w:rsid w:val="00BF6151"/>
    <w:rsid w:val="00BF69EA"/>
    <w:rsid w:val="00BF792D"/>
    <w:rsid w:val="00C0309B"/>
    <w:rsid w:val="00C040A8"/>
    <w:rsid w:val="00C053E4"/>
    <w:rsid w:val="00C06C13"/>
    <w:rsid w:val="00C06E7B"/>
    <w:rsid w:val="00C13146"/>
    <w:rsid w:val="00C13447"/>
    <w:rsid w:val="00C1431F"/>
    <w:rsid w:val="00C1451D"/>
    <w:rsid w:val="00C159D3"/>
    <w:rsid w:val="00C15A41"/>
    <w:rsid w:val="00C15EFA"/>
    <w:rsid w:val="00C162D5"/>
    <w:rsid w:val="00C16C3A"/>
    <w:rsid w:val="00C171E0"/>
    <w:rsid w:val="00C2019B"/>
    <w:rsid w:val="00C20348"/>
    <w:rsid w:val="00C213FB"/>
    <w:rsid w:val="00C22193"/>
    <w:rsid w:val="00C22CB6"/>
    <w:rsid w:val="00C23933"/>
    <w:rsid w:val="00C24F46"/>
    <w:rsid w:val="00C25463"/>
    <w:rsid w:val="00C27010"/>
    <w:rsid w:val="00C32625"/>
    <w:rsid w:val="00C33055"/>
    <w:rsid w:val="00C35116"/>
    <w:rsid w:val="00C3534B"/>
    <w:rsid w:val="00C3537D"/>
    <w:rsid w:val="00C37764"/>
    <w:rsid w:val="00C4086C"/>
    <w:rsid w:val="00C408A8"/>
    <w:rsid w:val="00C4101C"/>
    <w:rsid w:val="00C41F2E"/>
    <w:rsid w:val="00C42E05"/>
    <w:rsid w:val="00C4417B"/>
    <w:rsid w:val="00C450CC"/>
    <w:rsid w:val="00C4525B"/>
    <w:rsid w:val="00C4597C"/>
    <w:rsid w:val="00C50500"/>
    <w:rsid w:val="00C51A61"/>
    <w:rsid w:val="00C52888"/>
    <w:rsid w:val="00C52D30"/>
    <w:rsid w:val="00C5568C"/>
    <w:rsid w:val="00C60809"/>
    <w:rsid w:val="00C610AA"/>
    <w:rsid w:val="00C6187A"/>
    <w:rsid w:val="00C618C1"/>
    <w:rsid w:val="00C61C0B"/>
    <w:rsid w:val="00C61DAB"/>
    <w:rsid w:val="00C62342"/>
    <w:rsid w:val="00C631EB"/>
    <w:rsid w:val="00C63A1D"/>
    <w:rsid w:val="00C64306"/>
    <w:rsid w:val="00C64456"/>
    <w:rsid w:val="00C6449E"/>
    <w:rsid w:val="00C649AB"/>
    <w:rsid w:val="00C6521B"/>
    <w:rsid w:val="00C6619C"/>
    <w:rsid w:val="00C6642A"/>
    <w:rsid w:val="00C664F9"/>
    <w:rsid w:val="00C66764"/>
    <w:rsid w:val="00C667AD"/>
    <w:rsid w:val="00C7042A"/>
    <w:rsid w:val="00C70ACE"/>
    <w:rsid w:val="00C7314C"/>
    <w:rsid w:val="00C73AF3"/>
    <w:rsid w:val="00C73B22"/>
    <w:rsid w:val="00C75754"/>
    <w:rsid w:val="00C75D5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4E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2C6A"/>
    <w:rsid w:val="00CB2FFD"/>
    <w:rsid w:val="00CB35B4"/>
    <w:rsid w:val="00CB35EF"/>
    <w:rsid w:val="00CB3898"/>
    <w:rsid w:val="00CB3CD5"/>
    <w:rsid w:val="00CB460A"/>
    <w:rsid w:val="00CB5861"/>
    <w:rsid w:val="00CC145B"/>
    <w:rsid w:val="00CC1C65"/>
    <w:rsid w:val="00CC25CA"/>
    <w:rsid w:val="00CC2AC6"/>
    <w:rsid w:val="00CC3B30"/>
    <w:rsid w:val="00CC3D5B"/>
    <w:rsid w:val="00CC5228"/>
    <w:rsid w:val="00CC53E1"/>
    <w:rsid w:val="00CC578D"/>
    <w:rsid w:val="00CC5D68"/>
    <w:rsid w:val="00CC610F"/>
    <w:rsid w:val="00CC7FF2"/>
    <w:rsid w:val="00CD1394"/>
    <w:rsid w:val="00CD14C3"/>
    <w:rsid w:val="00CD1AA9"/>
    <w:rsid w:val="00CD2DED"/>
    <w:rsid w:val="00CD32B0"/>
    <w:rsid w:val="00CD477A"/>
    <w:rsid w:val="00CD52C8"/>
    <w:rsid w:val="00CD56A0"/>
    <w:rsid w:val="00CD585D"/>
    <w:rsid w:val="00CD5C59"/>
    <w:rsid w:val="00CD606D"/>
    <w:rsid w:val="00CD6F6A"/>
    <w:rsid w:val="00CD764D"/>
    <w:rsid w:val="00CE1A3E"/>
    <w:rsid w:val="00CE36D7"/>
    <w:rsid w:val="00CE5DEA"/>
    <w:rsid w:val="00CE7C2D"/>
    <w:rsid w:val="00CF0867"/>
    <w:rsid w:val="00CF0969"/>
    <w:rsid w:val="00CF3964"/>
    <w:rsid w:val="00CF4BEF"/>
    <w:rsid w:val="00CF53B5"/>
    <w:rsid w:val="00CF5CD6"/>
    <w:rsid w:val="00CF68B0"/>
    <w:rsid w:val="00CF7FD1"/>
    <w:rsid w:val="00D00AD6"/>
    <w:rsid w:val="00D0149C"/>
    <w:rsid w:val="00D02404"/>
    <w:rsid w:val="00D0301B"/>
    <w:rsid w:val="00D05AFC"/>
    <w:rsid w:val="00D07638"/>
    <w:rsid w:val="00D10463"/>
    <w:rsid w:val="00D11757"/>
    <w:rsid w:val="00D13BAA"/>
    <w:rsid w:val="00D15EE1"/>
    <w:rsid w:val="00D1708E"/>
    <w:rsid w:val="00D17BCD"/>
    <w:rsid w:val="00D20B22"/>
    <w:rsid w:val="00D212BA"/>
    <w:rsid w:val="00D217C3"/>
    <w:rsid w:val="00D222B8"/>
    <w:rsid w:val="00D222C9"/>
    <w:rsid w:val="00D23807"/>
    <w:rsid w:val="00D25499"/>
    <w:rsid w:val="00D27566"/>
    <w:rsid w:val="00D27ADF"/>
    <w:rsid w:val="00D30622"/>
    <w:rsid w:val="00D31A12"/>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3963"/>
    <w:rsid w:val="00D63B87"/>
    <w:rsid w:val="00D63C68"/>
    <w:rsid w:val="00D63D24"/>
    <w:rsid w:val="00D65722"/>
    <w:rsid w:val="00D7041D"/>
    <w:rsid w:val="00D719B2"/>
    <w:rsid w:val="00D71B0A"/>
    <w:rsid w:val="00D733B7"/>
    <w:rsid w:val="00D75288"/>
    <w:rsid w:val="00D8090B"/>
    <w:rsid w:val="00D81B88"/>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A05FB"/>
    <w:rsid w:val="00DA067D"/>
    <w:rsid w:val="00DA12E6"/>
    <w:rsid w:val="00DA13DF"/>
    <w:rsid w:val="00DA3259"/>
    <w:rsid w:val="00DA4E0E"/>
    <w:rsid w:val="00DA5573"/>
    <w:rsid w:val="00DA69F3"/>
    <w:rsid w:val="00DA7CAB"/>
    <w:rsid w:val="00DB0A95"/>
    <w:rsid w:val="00DB0F5C"/>
    <w:rsid w:val="00DB21A1"/>
    <w:rsid w:val="00DB23F8"/>
    <w:rsid w:val="00DB297A"/>
    <w:rsid w:val="00DB5BF2"/>
    <w:rsid w:val="00DB6E17"/>
    <w:rsid w:val="00DB7C35"/>
    <w:rsid w:val="00DC0885"/>
    <w:rsid w:val="00DC09EC"/>
    <w:rsid w:val="00DC0C7C"/>
    <w:rsid w:val="00DC23FE"/>
    <w:rsid w:val="00DC2AF8"/>
    <w:rsid w:val="00DC5E02"/>
    <w:rsid w:val="00DC70DA"/>
    <w:rsid w:val="00DD189F"/>
    <w:rsid w:val="00DD25FE"/>
    <w:rsid w:val="00DD3148"/>
    <w:rsid w:val="00DD3FC7"/>
    <w:rsid w:val="00DD42AB"/>
    <w:rsid w:val="00DD4997"/>
    <w:rsid w:val="00DD4B4A"/>
    <w:rsid w:val="00DD4C84"/>
    <w:rsid w:val="00DD4E74"/>
    <w:rsid w:val="00DE096C"/>
    <w:rsid w:val="00DE0B80"/>
    <w:rsid w:val="00DE1076"/>
    <w:rsid w:val="00DE161B"/>
    <w:rsid w:val="00DE2070"/>
    <w:rsid w:val="00DE3AC9"/>
    <w:rsid w:val="00DE407E"/>
    <w:rsid w:val="00DE5D96"/>
    <w:rsid w:val="00DE660C"/>
    <w:rsid w:val="00DE69A0"/>
    <w:rsid w:val="00DE70B0"/>
    <w:rsid w:val="00DE7A55"/>
    <w:rsid w:val="00DE7AAD"/>
    <w:rsid w:val="00DF0429"/>
    <w:rsid w:val="00DF0CA6"/>
    <w:rsid w:val="00DF1F02"/>
    <w:rsid w:val="00DF208D"/>
    <w:rsid w:val="00DF3078"/>
    <w:rsid w:val="00DF62FD"/>
    <w:rsid w:val="00DF6CE3"/>
    <w:rsid w:val="00DF7BA0"/>
    <w:rsid w:val="00DF7D9E"/>
    <w:rsid w:val="00DF7F7E"/>
    <w:rsid w:val="00E001BF"/>
    <w:rsid w:val="00E00E22"/>
    <w:rsid w:val="00E04F89"/>
    <w:rsid w:val="00E051C8"/>
    <w:rsid w:val="00E05BE2"/>
    <w:rsid w:val="00E0687E"/>
    <w:rsid w:val="00E06AC6"/>
    <w:rsid w:val="00E06D21"/>
    <w:rsid w:val="00E06F71"/>
    <w:rsid w:val="00E073AE"/>
    <w:rsid w:val="00E0742D"/>
    <w:rsid w:val="00E076D3"/>
    <w:rsid w:val="00E106CB"/>
    <w:rsid w:val="00E10DEA"/>
    <w:rsid w:val="00E1174A"/>
    <w:rsid w:val="00E1222E"/>
    <w:rsid w:val="00E131CC"/>
    <w:rsid w:val="00E14534"/>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3019B"/>
    <w:rsid w:val="00E317BE"/>
    <w:rsid w:val="00E31E0A"/>
    <w:rsid w:val="00E3299A"/>
    <w:rsid w:val="00E33023"/>
    <w:rsid w:val="00E3314D"/>
    <w:rsid w:val="00E346ED"/>
    <w:rsid w:val="00E35068"/>
    <w:rsid w:val="00E35FB3"/>
    <w:rsid w:val="00E361CF"/>
    <w:rsid w:val="00E37366"/>
    <w:rsid w:val="00E3789B"/>
    <w:rsid w:val="00E37E23"/>
    <w:rsid w:val="00E409A2"/>
    <w:rsid w:val="00E419FD"/>
    <w:rsid w:val="00E41E54"/>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F56"/>
    <w:rsid w:val="00E62746"/>
    <w:rsid w:val="00E63B98"/>
    <w:rsid w:val="00E66E22"/>
    <w:rsid w:val="00E70139"/>
    <w:rsid w:val="00E70284"/>
    <w:rsid w:val="00E7115B"/>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386B"/>
    <w:rsid w:val="00E84471"/>
    <w:rsid w:val="00E84AD8"/>
    <w:rsid w:val="00E85461"/>
    <w:rsid w:val="00E86AE4"/>
    <w:rsid w:val="00E873F4"/>
    <w:rsid w:val="00E92F05"/>
    <w:rsid w:val="00E931E9"/>
    <w:rsid w:val="00E945B7"/>
    <w:rsid w:val="00E971FA"/>
    <w:rsid w:val="00E9725D"/>
    <w:rsid w:val="00E9764B"/>
    <w:rsid w:val="00EA117C"/>
    <w:rsid w:val="00EA22BD"/>
    <w:rsid w:val="00EA28A7"/>
    <w:rsid w:val="00EA39BC"/>
    <w:rsid w:val="00EA4007"/>
    <w:rsid w:val="00EA4C2B"/>
    <w:rsid w:val="00EA4ED5"/>
    <w:rsid w:val="00EA51BA"/>
    <w:rsid w:val="00EA61E5"/>
    <w:rsid w:val="00EB02F9"/>
    <w:rsid w:val="00EB1195"/>
    <w:rsid w:val="00EB1B23"/>
    <w:rsid w:val="00EB2B78"/>
    <w:rsid w:val="00EB386B"/>
    <w:rsid w:val="00EB42C3"/>
    <w:rsid w:val="00EB4A66"/>
    <w:rsid w:val="00EB4EC4"/>
    <w:rsid w:val="00EB5942"/>
    <w:rsid w:val="00EC1566"/>
    <w:rsid w:val="00EC1E78"/>
    <w:rsid w:val="00EC2208"/>
    <w:rsid w:val="00EC4F33"/>
    <w:rsid w:val="00EC56A0"/>
    <w:rsid w:val="00EC5E42"/>
    <w:rsid w:val="00EC62D9"/>
    <w:rsid w:val="00EC6831"/>
    <w:rsid w:val="00EC6F9F"/>
    <w:rsid w:val="00EC7023"/>
    <w:rsid w:val="00EC735D"/>
    <w:rsid w:val="00EC7CE2"/>
    <w:rsid w:val="00ED0A7F"/>
    <w:rsid w:val="00ED148D"/>
    <w:rsid w:val="00ED1E00"/>
    <w:rsid w:val="00ED2708"/>
    <w:rsid w:val="00ED2CE0"/>
    <w:rsid w:val="00ED31DF"/>
    <w:rsid w:val="00ED3C65"/>
    <w:rsid w:val="00ED467C"/>
    <w:rsid w:val="00EE089A"/>
    <w:rsid w:val="00EE094D"/>
    <w:rsid w:val="00EE0C8D"/>
    <w:rsid w:val="00EE0CCA"/>
    <w:rsid w:val="00EE0CDD"/>
    <w:rsid w:val="00EE0FFC"/>
    <w:rsid w:val="00EE1324"/>
    <w:rsid w:val="00EE1EC7"/>
    <w:rsid w:val="00EE23F5"/>
    <w:rsid w:val="00EE2554"/>
    <w:rsid w:val="00EE3DD7"/>
    <w:rsid w:val="00EE4291"/>
    <w:rsid w:val="00EE48FC"/>
    <w:rsid w:val="00EE49DE"/>
    <w:rsid w:val="00EE5840"/>
    <w:rsid w:val="00EE63D1"/>
    <w:rsid w:val="00EE657A"/>
    <w:rsid w:val="00EE72CD"/>
    <w:rsid w:val="00EF11DC"/>
    <w:rsid w:val="00EF3A57"/>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6EB6"/>
    <w:rsid w:val="00F10EE8"/>
    <w:rsid w:val="00F112FB"/>
    <w:rsid w:val="00F129E5"/>
    <w:rsid w:val="00F12D00"/>
    <w:rsid w:val="00F13443"/>
    <w:rsid w:val="00F1346E"/>
    <w:rsid w:val="00F136C0"/>
    <w:rsid w:val="00F13833"/>
    <w:rsid w:val="00F141F4"/>
    <w:rsid w:val="00F150EB"/>
    <w:rsid w:val="00F15CC0"/>
    <w:rsid w:val="00F167B4"/>
    <w:rsid w:val="00F16856"/>
    <w:rsid w:val="00F17055"/>
    <w:rsid w:val="00F20ACE"/>
    <w:rsid w:val="00F20B1B"/>
    <w:rsid w:val="00F20D32"/>
    <w:rsid w:val="00F21297"/>
    <w:rsid w:val="00F23299"/>
    <w:rsid w:val="00F24BB4"/>
    <w:rsid w:val="00F2504F"/>
    <w:rsid w:val="00F26E4C"/>
    <w:rsid w:val="00F2762D"/>
    <w:rsid w:val="00F30522"/>
    <w:rsid w:val="00F305C4"/>
    <w:rsid w:val="00F30C47"/>
    <w:rsid w:val="00F312EF"/>
    <w:rsid w:val="00F32A1B"/>
    <w:rsid w:val="00F33172"/>
    <w:rsid w:val="00F33D01"/>
    <w:rsid w:val="00F33D36"/>
    <w:rsid w:val="00F34AF5"/>
    <w:rsid w:val="00F35E80"/>
    <w:rsid w:val="00F369C7"/>
    <w:rsid w:val="00F36F92"/>
    <w:rsid w:val="00F4068E"/>
    <w:rsid w:val="00F42F75"/>
    <w:rsid w:val="00F447D5"/>
    <w:rsid w:val="00F449E1"/>
    <w:rsid w:val="00F45096"/>
    <w:rsid w:val="00F45572"/>
    <w:rsid w:val="00F4598E"/>
    <w:rsid w:val="00F45A2B"/>
    <w:rsid w:val="00F4656B"/>
    <w:rsid w:val="00F4721B"/>
    <w:rsid w:val="00F503E2"/>
    <w:rsid w:val="00F5050E"/>
    <w:rsid w:val="00F5056B"/>
    <w:rsid w:val="00F50D94"/>
    <w:rsid w:val="00F51802"/>
    <w:rsid w:val="00F51C8D"/>
    <w:rsid w:val="00F54749"/>
    <w:rsid w:val="00F55B8A"/>
    <w:rsid w:val="00F56A43"/>
    <w:rsid w:val="00F5736E"/>
    <w:rsid w:val="00F57E27"/>
    <w:rsid w:val="00F60273"/>
    <w:rsid w:val="00F6086D"/>
    <w:rsid w:val="00F611EF"/>
    <w:rsid w:val="00F6394B"/>
    <w:rsid w:val="00F64C10"/>
    <w:rsid w:val="00F6521D"/>
    <w:rsid w:val="00F65398"/>
    <w:rsid w:val="00F67C64"/>
    <w:rsid w:val="00F70697"/>
    <w:rsid w:val="00F71113"/>
    <w:rsid w:val="00F713E7"/>
    <w:rsid w:val="00F71C1A"/>
    <w:rsid w:val="00F722D7"/>
    <w:rsid w:val="00F725D2"/>
    <w:rsid w:val="00F73184"/>
    <w:rsid w:val="00F7400C"/>
    <w:rsid w:val="00F74295"/>
    <w:rsid w:val="00F7436B"/>
    <w:rsid w:val="00F749A8"/>
    <w:rsid w:val="00F7654E"/>
    <w:rsid w:val="00F77123"/>
    <w:rsid w:val="00F77FCA"/>
    <w:rsid w:val="00F82230"/>
    <w:rsid w:val="00F82E40"/>
    <w:rsid w:val="00F834D4"/>
    <w:rsid w:val="00F84078"/>
    <w:rsid w:val="00F84320"/>
    <w:rsid w:val="00F8492E"/>
    <w:rsid w:val="00F84B83"/>
    <w:rsid w:val="00F864EA"/>
    <w:rsid w:val="00F86DC4"/>
    <w:rsid w:val="00F86F96"/>
    <w:rsid w:val="00F872A7"/>
    <w:rsid w:val="00F87705"/>
    <w:rsid w:val="00F91C84"/>
    <w:rsid w:val="00F9205A"/>
    <w:rsid w:val="00F9417B"/>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5187"/>
    <w:rsid w:val="00FB76B8"/>
    <w:rsid w:val="00FB7BB4"/>
    <w:rsid w:val="00FC02D6"/>
    <w:rsid w:val="00FC0BDF"/>
    <w:rsid w:val="00FC187B"/>
    <w:rsid w:val="00FC2582"/>
    <w:rsid w:val="00FC25F6"/>
    <w:rsid w:val="00FC2B12"/>
    <w:rsid w:val="00FC31AC"/>
    <w:rsid w:val="00FC34C7"/>
    <w:rsid w:val="00FC5349"/>
    <w:rsid w:val="00FC57E1"/>
    <w:rsid w:val="00FC6015"/>
    <w:rsid w:val="00FD161C"/>
    <w:rsid w:val="00FD1896"/>
    <w:rsid w:val="00FD4168"/>
    <w:rsid w:val="00FD4263"/>
    <w:rsid w:val="00FD46F1"/>
    <w:rsid w:val="00FD563C"/>
    <w:rsid w:val="00FD5FFE"/>
    <w:rsid w:val="00FD6D39"/>
    <w:rsid w:val="00FE0390"/>
    <w:rsid w:val="00FE1737"/>
    <w:rsid w:val="00FE2465"/>
    <w:rsid w:val="00FE2C44"/>
    <w:rsid w:val="00FE2F44"/>
    <w:rsid w:val="00FE30DB"/>
    <w:rsid w:val="00FE42C0"/>
    <w:rsid w:val="00FE4B16"/>
    <w:rsid w:val="00FE53DB"/>
    <w:rsid w:val="00FE5A90"/>
    <w:rsid w:val="00FE5AB0"/>
    <w:rsid w:val="00FE6ADB"/>
    <w:rsid w:val="00FE7A98"/>
    <w:rsid w:val="00FF1878"/>
    <w:rsid w:val="00FF1A21"/>
    <w:rsid w:val="00FF1C5E"/>
    <w:rsid w:val="00FF2E3F"/>
    <w:rsid w:val="00FF2F33"/>
    <w:rsid w:val="00FF3079"/>
    <w:rsid w:val="00FF338D"/>
    <w:rsid w:val="00FF46C9"/>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styleId="UnresolvedMention">
    <w:name w:val="Unresolved Mention"/>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9B73-9039-4F93-B53C-DBF90A3F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5175</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Reber, Jim - ICBA Securities</cp:lastModifiedBy>
  <cp:revision>2</cp:revision>
  <cp:lastPrinted>2017-05-09T18:55:00Z</cp:lastPrinted>
  <dcterms:created xsi:type="dcterms:W3CDTF">2021-04-13T17:58:00Z</dcterms:created>
  <dcterms:modified xsi:type="dcterms:W3CDTF">2021-04-13T17:58:00Z</dcterms:modified>
</cp:coreProperties>
</file>